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C-8114/2010 vom 5. März 2012</w:t>
      </w:r>
    </w:p>
    <w:p>
      <w:r>
        <w:t>Bundesverwaltungsgericht, 2012-03-05, DE</w:t>
      </w:r>
    </w:p>
    <w:p>
      <w:r>
        <w:rPr>
          <w:b/>
        </w:rPr>
        <w:t xml:space="preserve">Quelle: </w:t>
      </w:r>
      <w:r>
        <w:t>https://mcp.opencaselaw.ch/entscheid/bvger_C-8114_2010</w:t>
      </w:r>
    </w:p>
    <w:p>
      <w:r>
        <w:t>FR: TAF C-8114/2010 du 5 mars 2012</w:t>
      </w:r>
    </w:p>
    <w:p>
      <w:r>
        <w:t>IT: TAF C-8114/2010 del 5 marzo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3</w:t>
      </w:r>
    </w:p>
    <w:p>
      <w:r>
        <w:t>Die Beschwerdeführerin beantragt im vorliegenden Verfahren das Einholen eines Amtsberichtes bei der Gemeinde X._______, die Befragung von C._______, D._______ und B._______ sowie den Beizug der Strafakte bei der Staatsanwaltschaft Oberwallis. Überdies wird auch ihre persönliche Einvernahme angeregt. Diesbezüglich gilt es Folgendes festzuhalten: Der Behörde kommt grundsätzlich die Pflicht zu, den rechtserheblichen Sachverhalt von Amtes wegen zu ermitteln (Art. 12 VwVG). Zudem ist die Behörde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Hinweis). Der entscheiderhebliche Sachverhalt erschliesst sich, wie nachfolgend zu zeigen sein wird, in hinreichender Weise aus den Akten. Von den beantragten Beweismittelofferten kann daher in antizipierter Beweiswürdigung ohne Verletzung des rechtlichen Gehörs abgesehen werden.</w:t>
      </w:r>
    </w:p>
    <w:p>
      <w:r>
        <w:rPr>
          <w:b/>
        </w:rPr>
        <w:t>E. 4</w:t>
      </w:r>
    </w:p>
    <w:p>
      <w:r>
        <w:t>Wird gegen eine Person, welche nicht Angehörige eines Staates ist, der durch eines der Schengen-Assozierungsabkommen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 5.1. Auf den 1. Januar 2011 trat als Folge der Weiterentwicklung des Schengen-Besitzstandes eine neue Fassung von Art. 67 AuG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worden sind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Für die Beschwerdeführerin ändert sich dadurch im Ergebnis nichts. 5.2. Wie bereits die altrechtliche Einreisesperre (vgl. Art. 13 Abs. 1 des Bundesgesetzes vom 26. März 1931 über Aufenthalt und Niederlassung der Ausländer [ANAG, BS 1 121]) ist das Einreiseverbot keine Sanktion für vergangenes Fehlverhalten, sondern eine Massnahme zur Abwendung künftiger Störungen der öffentlichen Sicherheit und Ordnung (siehe Botschaft zum Bundesgesetz über die Ausländerinnen und Ausländer vom 8. März 2002 [nachfolgend: Botschaft], BBl 2002 3709,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 5.3. Allgemein gilt,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(vgl. statt vieler Urteil des Bundesverwaltungsgerichts C-4639/2010 vom 15. Februar 2011 E. 5.3 mit Hinweis). 6.1. Sofern sie keiner Erwerbstätigkeit nachgehen, benötigen Ausländerinnen und Ausländer für einen Aufenthalt in der Schweiz von bis zu drei Monaten keine Bewilligung (Art. 10 Abs. 1 AuG). Demgegenüber benötigen Ausländerinnen und Ausländer, die in der Schweiz eine Erwerbstätigkeit ausüben wollen, unabhängig von der Aufenthaltsdauer eine Bewilligung (Art. 11 Abs. 1 Satz 1 AuG). Art. 9 Abs. 1 VZAE hält präzisierend fest, dass Ausländerinnen und Ausländer ohne Erwerbstätigkeit in der Schweiz für einen Aufenthalt von bis zu drei Monaten innerhalb eines Zeitraums von sechs Monaten nach Einreise keine Bewilligung benötigen und sich nicht anmelden müssen (bewilligungsfreier Aufenthalt). Die Einreisevoraussetzungen nach Art. 5 AuG müssen während des gesamten bewilligungsfreien Aufenthalts erfüllt sein (Art. 9 Abs. 2 VZAE). 6.2. Die Beschwerdeführerin bestreitet zu keiner Zeit, in der Schweiz einer Erwerbstätigkeit nachgegangen zu sein. Bereits anlässlich ihrer Befragung durch die DBM am 26. Februar 2010 machte sie geltend, für die Familie Y._______ zu arbeiten. Sie erhalte einen Lohn von Fr. 2'000.- sowie freie Kost und Logis. Ihr Arbeitgeber ziehe ihr auch die AHV und Pensionskasse vom Lohn ab. Des Weiteren zahle er ihr die Krankenkasse. Die von der Beschwerdeführerin vorgenommenen Arbeitsleistungen sind mit diesen Ausführungen zweifellos als Erwerbstätigkeit im Sinne von Art. 11 Abs. 2 AuG zu qualifizieren, für welche sie vorgängig eine Bewilligung hätte einholen müssen. Vor diesem Hintergrund kann es auch keine Rolle spielen, dass die Beschwerdeführerin eine sehr enge Beziehung zu den von ihr betreuten Kindern aufgebaut habe und für die Familie Trost und Stütze in schwierigen Zeiten gewesen sei. Mit rechtskräftigem Strafbefehl des Untersuchungsrichteramts Oberwallis vom 13. Dezember 2010 wurde sie denn auch zu einer Geldstrafe von 30 Tagessätze zu je Fr. 30.- und zu einer Busse von Fr. 200.- verurteilt. Der Vollzug der Geldstrafe wurde aufgeschoben unter Ansetzung einer Probezeit von zwei Jahren. Die Beschwerdeführerin hat somit offensichtlich ausländerrechtlichen Bestimmungen zuwidergehandelt (vgl. Art. 115 Abs. 1 Bst. c AuG). 7.1. Die Vorinstanz begründet das verhängte Einreiseverbot weiter damit, die Beschwerdeführerin habe in Ausschaffungshaft genommen werden müssen. 7.2. Mit Verfügung der DBM vom 3. November 2010 wurde festgestellt, dass im Falle der Beschwerdeführerin die Voraussetzungen für die Anordnung der Ausschaffungshaft gemäss des damaligen Art. 76 Abs. 1 Bst. b Ziff. 3 AuG gegeben waren. Aufgrund konkreter Anzeichen sei zu befürchten, dass sie sich der Ausschaffung entziehen wolle. Die kantonale Behörde führte aus, die Beschwerdeführerin sei im Jahr 2004 illegal in die Schweiz gekommen und habe seither bei der Familie Y._______ als Haushälterin gearbeitet. Das Gesuch um Aufenthaltsbewilligung sei mit - mittlerweilen rechtskräftiger - Verfügung vom 15. Juni 2010 abgelehnt worden; gleichzeitig sei ihr eine Ausreisefrist per 31. Juli 2010 angesetzt worden. Die Ausschaffung habe man ihr anlässlich der polizeilichen Anhörung vom 3. November 2010 angekündigt. 7.3. Die Beschwerdeführerin bestreitet denn auch nicht, in Ausschaffungshaft gewesen zu sein, macht aber beschwerdeweise geltend, den negativen Entscheid der DBM vom 15. Juni 2010 - worin auch die Ausreisefrist angesetzt wurde - nie erhalten zu haben. Dieser sei im Übrigen auch der Gemeinde X._______ zugestellt worden, welche die Pflicht gehabt hätte, ihr den Entscheid zu eröffnen und ihr dessen negative Bedeutung - die Ausreise aus der Schweiz - darzulegen. Die Gemeinde habe dies jedoch versäumt, da sie davon ausgegangen sei, der Entscheid sei ihr nur informationshalber zugegangen. Hätte die Beschwerdeführerin vom negativen Entscheid gewusst, hätte sie diesen respektiert und sie wäre geordnet ausgereist. Es sei für sie ein grosser Schock gewesen, als sie anfangs November in Ausschaffungshaft versetzt worden sei. Diese Sachverhaltsdarstellung deckt sich mit der Aktenlage. So hat die Beschwerdeführerin bereits anlässlich der polizeilichen Anhörung vom 3. November 2010 ausgesagt, sie habe den negativen Entscheid der DBM vom 15. Juni 2010 nie erhalten. Das letzte Mal habe sie im Februar 2010 vom Migrationsamt gehört, als sie schriftlich befragt worden sei. Damit sei sie auch nicht in Kenntnis der ihr gesetzten Ausreisefrist gewesen (vgl. Polizeiprotokoll vom 3. November 2010, Frage 10 und Frage 11). Einem Schreiben der Gemeinde X._______ vom 3. Dezember 2010 ist zudem zu entnehmen, man habe am 16. Juni 2010 ein Schreiben der Dienststelle für Bevölkerung und Migration erhalten. Wegen der Bemerkung "Motif: Zur Information (...)" sei man hingegen davon ausgegangen, es handle sich lediglich um ein Informationsschreiben. Auf dieses Schreiben wird auch im Entscheid des Staatsrates des Kantons Wallis vom 18. Mai 2011 Bezug genommen. Aufgrund dieses Umstands sowie des Hinweises, dass die Vorinstanz weder beweisen könnte, dass die Sendung den Postbetrieben tatsächlich zur Beförderung übergeben worden sei noch dass und wann sie dem Adressaten zugestellt worden sei, wurde festgestellt, dass die Eröffnung der Verfügung vom 15. Juni 2010 unter einem Mangel leide. Weiter wurde aus den Akten geschlossen, die Beschwerdeführerin habe am 24. November 2010 zum ersten Mal Kenntnis von der negativen Verfügung erhalten, als ihr die Dienststelle für Bevölkerung und Migration eine Kopie des Aktendossiers zugesandt habe. Vor diesem Hintergrund ist der Beschwerdeführerin nicht vorzuwerfen, sie habe die ihr in der negativen Verfügung vom 15. Juni 2010 angesetzte Ausreisefrist ungenutzt verstreichen lassen. Vielmehr ist davon auszugehen, dass ihre Ausreise - in Kenntnis des Entscheides - fristgerecht und ordnungsgemäss erfolgt wäre. Die Beschwerdeführerin äusserte sich anlässlich ihrer Befragung durch die DBM am 26. Februar 2010 denn auch dahingehend, dass wenn sie keine Aufenthaltsbewilligung in der Schweiz erhalte, sie wieder nach Hause (Serbien) gehen könnte. Sie würde wieder mit ihrem Ehemann und ihren Kindern leben. Die Ausschaffungshaft kann ihr somit nicht angelastet werden. Demzufolge stützt sich die Vorinstanz zu Unrecht auf Art. 67 Abs. 1 Bst. d AuG in der Fassung vom 1. Januar 2008 bzw. Art. 67 Abs. 2 Bst. c AuG in der Fassung vom 1. Januar 2011. 7.4. Zusammenfassend ist festzuhalten, dass die Beschwerdeführerin gegen die öffentliche Sicherheit und Ordnung in der Schweiz verstossen hat, indem sie einer nicht bewilligten Erwerbstätigkeit nachging (Art. 115 Abs. 1 Bst. c AuG). Der Fernhaltegrund von Art. 67 Abs. 2 Bst. a AuG ist somit gegeben, weshalb sich die Verhängung der Fernhaltemassnahme in grundsätzlicher Hinsicht als gerechtfertigt erweist. 8.1. 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 8.2. Das Fehlverhalten der Beschwerdeführerin wiegt objektiv nicht leicht. Sie war über Jahre hinweg in der Schweiz erwerbstätig, ohne dass sie im Besitze einer entsprechenden Arbeitsbewilligung war. Sie hat somit ausländerrechtliche Normen missachtet, denen im Interesse einer funktionierenden Rechtsordnung eine zentrale Bedeutung zukommt. 8.3. Auf der anderen Seite ist die Gefahr weiterer gleichgelagerter Zuwiderhandlungen nicht in dem Masse zu veranschlagen, wie zum Zeitpunkt des Erlasses der angefochtenen Verfügung von der Vorinstanz angenommen wurde. Mitberücksichtigen kann man, dass die Beschwerde-führerin von sich aus die Legalisierung ihres Status anstrebte. Sie legte ihre Verhältnisse von Anfang an offen und zeigte sich gegenüber den Behörden kooperativ. Zudem verfügte sie über einen gültigen serbischen Pass. 8.4. Eine Abwägung der gegenläufigen öffentlichen und privaten Interessen führt zum Ergebnis, dass das Einreiseverbot dem Grundsatze nach zu bestätigen ist, in der ausgesprochenen Dauer von fünf Jahren jedoch als unangemessen lang erscheint. Angesichts der konkreten Umstände ist davon auszugehen, dass dem öffentlichen Interesse an der Fernhaltung der Beschwerdeführerin mit einem Einreiseverbot von drei Jahren Dauer hinreichend Rechnung getragen wird.</w:t>
      </w:r>
    </w:p>
    <w:p>
      <w:r>
        <w:rPr>
          <w:b/>
        </w:rPr>
        <w:t>E. 9</w:t>
      </w:r>
    </w:p>
    <w:p>
      <w:r>
        <w:t>Aus diesen Erwägungen folgt, dass das auf fünf Jahre bemessene Einreiseverbot Bundesrecht verletzt (vgl. Art. 49 VwVG). Die Beschwerde ist daher teilweise gutzuheissen und das gegen die Beschwerdeführerin verhängte Einreiseverbot auf drei Jahre - bis zum 3. November 2013 - zu befristen.</w:t>
      </w:r>
    </w:p>
    <w:p>
      <w:r>
        <w:rPr>
          <w:b/>
        </w:rPr>
        <w:t>E. 10</w:t>
      </w:r>
    </w:p>
    <w:p>
      <w:r>
        <w:t>Bei diesem Ausgang des Verfahrens sind die (ermässigten) Verfahrenskosten der Beschwerdeführerin aufzuerlegen und mit dem geleisteten Kostenvorschuss zu verrechnen (Art. 63 Abs. 1 VwVG i.V.m. Art. 1, Art. 2 und Art. 3 Bst. b des Reglements vom 21. Februar 2008 über die Kosten und Entschädigungen vor dem Bundesverwaltungsgericht [VGKE, SR 173.320.2]). Eine Parteientschädigung ist nicht auszurichten, da der nicht anwaltlich vertretenen Beschwerdeführerin keine verhältnismässig hohen Kosten entstanden sind (Art. 64 Abs. 1 VwVG und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