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C-8105/2009 vom 30. November 2010</w:t>
      </w:r>
    </w:p>
    <w:p>
      <w:r>
        <w:t>Bundesverwaltungsgericht, 2010-11-30, FR</w:t>
      </w:r>
    </w:p>
    <w:p>
      <w:r>
        <w:rPr>
          <w:b/>
        </w:rPr>
        <w:t xml:space="preserve">Quelle: </w:t>
      </w:r>
      <w:r>
        <w:t>https://mcp.opencaselaw.ch/entscheid/bvger_C-8105_2009</w:t>
      </w:r>
    </w:p>
    <w:p>
      <w:r>
        <w:t>FR: TAF C-8105/2009 du 30 novembre 2010</w:t>
      </w:r>
    </w:p>
    <w:p>
      <w:r>
        <w:t>IT: TAF C-8105/2009 del 30 novembre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l'avance de frais fournie dans le délai (cf. pces 7 à 10 TAF),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la recourante a versé des cotisations à l'AVS/AI pendant plus de trois années au total (cf. pce 6)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29 al. 4 LAI, versées qu'aux assurés qui ont leur domicile et leur résidence habituelle en Suisse (cf. l'art. 13 LPGA).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w:t>
      </w:r>
    </w:p>
    <w:p>
      <w:r>
        <w:t>La recourante a travaillé en Suisse, de 1973 à 1991, puis en Espagne, à compter de 2002, en qualité de nettoyeuse. Le 12 novembre 2004, elle subit un accident de travail entrainant une fracture du fémur droit. L'assurée cesse de travailler à compter de ce jour et ne reprendra plus d'activité lucrative.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En l'espèce, il est établi que la recourante souffre d'une fracture du fémur droit traitée par ostéosynthèse en 2004.</w:t>
      </w:r>
    </w:p>
    <w:p>
      <w:r>
        <w:rPr>
          <w:b/>
        </w:rPr>
        <w:t>E. 9.2</w:t>
      </w:r>
    </w:p>
    <w:p>
      <w:r>
        <w:t>Dans la présente occurrence, l'autorité inférieure, se fondant essentiellement sur l'appréciation médicale de la Dresse Schoch-Zysset, a considéré que l'assurée pouvait, à compter du 10 mars 2005, reprendre à plein temps sa dernière activité professionnelle et qu'elle ne présente donc pas d'invalidité au sens du droit suisse. La recourante, pour sa part, a avancé que sa situation clinique justifie la reconnaissance d'une invalidité de 40% à tout le moins et dès lors l'octroi d'une rente d'invalidité.</w:t>
      </w:r>
    </w:p>
    <w:p>
      <w:r>
        <w:rPr>
          <w:b/>
        </w:rPr>
        <w:t>E. 9.3</w:t>
      </w:r>
    </w:p>
    <w:p>
      <w:r>
        <w:t>Force est pour le tribunal de céans de constater que, sur le plan physique, la recourante ne présente aucune invalidité au sens du droit suisse. En effet, l'évolution post-opératoire de l'ostéosynthèse s'est déroulée sans anicroche et la fracture est consolidée en tout cas depuis octobre 2005. En outre, aucun dommage aux nerfs ou aux vaisseaux, aucune atrophie musculaire et aucune atteinte neurologique n'ont été diagnostiqués. Les médecins sollicités n'ont d'ailleurs constaté aucune limitation fonctionnelle. Les menues difficultés ressenties par la recourante à la marche ou dans la mobilité de son genou ainsi que la masse calleuse existante au niveau fémoral ne sauraient, selon toute vraisemblance, la restreindre dans sa capacité à exercer le métier de nettoyeuse. Les conclusions du rapport E 213 du 26 août 2008 et de la prise de position du 4 septembre 2009 du service médical de l'autorité inférieure ne laissent à cet égard aucune place au doute. La documentation médicale figurant au dossier est ainsi concordante et unanime, la Dresse de la Torre Santos ayant même considéré que la recourante pouvait effectuer des travaux lourds. Aucun document objectif ne remet ces considérations en cause. Sur le plan psychique, si deux certificats médicaux datant de 2006 font laconiquement état de l'existence d'une forme de dépression, le rapport E 213 du 26 août 2008 n'en fait par contre mention ni dans l'anamnèse ni dans les diagnostics. Cette affection, si elle devait encore subsister, ne saurait dès lors avoir quelque influence sur la capacité de travail de la recourante. Il est le lieu de relever que cette dernière n'a d'ailleurs jamais allégué le contraire dans ses écritures successives et n'a fourni aucun document qui permettrait de mettre en doute la véracité de cette assertion. C'est par conséquent à bon droit que l'autorité inférieure a rejeté la demande de prestations de l'assurance-invalidité suisse présentée par la recourante.</w:t>
      </w:r>
    </w:p>
    <w:p>
      <w:r>
        <w:rPr>
          <w:b/>
        </w:rPr>
        <w:t>E. 9.4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par exemple, ne sont pas des facteurs supplémentaires propres à influencer l'étendue de l'invalidité (ATF 107 V 21 consid. 2c; RCC 1991 p. 333 consid. 3c, 1989 p. 325 consid. 2b, 1982 p. 34 consid. 2c).</w:t>
      </w:r>
    </w:p>
    <w:p>
      <w:r>
        <w:rPr>
          <w:b/>
        </w:rPr>
        <w:t>E. 10</w:t>
      </w:r>
    </w:p>
    <w:p>
      <w:r>
        <w:t>Le recours du 23 décembre 2009, manifestement infondé, doit partant être rejeté dans une procédure à juge unique (art. 85bis al. 3 de la loi fédérale du 20 décembre 1946 sur l'assurance-vieillesse et survivants [LAVS, RS 831.10], applicable par le renvoi de l'art. 69 al. 2 LAI).</w:t>
      </w:r>
    </w:p>
    <w:p>
      <w:r>
        <w:rPr>
          <w:b/>
        </w:rPr>
        <w:t>E. 11</w:t>
      </w:r>
    </w:p>
    <w:p>
      <w:r>
        <w:t>Vu l'issue du litige, les frais de la procédure, fixés à Fr. 300.-, sont mis à la charge de la recourante (art. 63 al. 1 PA, applicable par le truchement de l'art. 37 LTAF). Ils sont compensés par l'avance de frais du même montant dont elle s'est acquitté au cours de l'instruction.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