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C-8104/2009 vom 20. August 2010</w:t>
      </w:r>
    </w:p>
    <w:p>
      <w:r>
        <w:t>Bundesverwaltungsgericht, 2010-08-20, FR</w:t>
      </w:r>
    </w:p>
    <w:p>
      <w:r>
        <w:rPr>
          <w:b/>
        </w:rPr>
        <w:t xml:space="preserve">Quelle: </w:t>
      </w:r>
      <w:r>
        <w:t>https://mcp.opencaselaw.ch/entscheid/bvger_C-8104_2009</w:t>
      </w:r>
    </w:p>
    <w:p>
      <w:r>
        <w:t>FR: TAF C-8104/2009 du 20 août 2010</w:t>
      </w:r>
    </w:p>
    <w:p>
      <w:r>
        <w:t>IT: TAF C-8104/2009 del 20 agosto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E._______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 et jurisprudence citée).</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ATAF 2009/27 consid. 5.2 p. 344, arrêt du TAF C-53/2010 du 15 juin 2010 consid. 5).</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 kosovar, A._______ est soumis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7.1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7.2</w:t>
      </w:r>
    </w:p>
    <w:p>
      <w:r>
        <w:t>A ce sujet, compte tenu de la situation prévalant au Kosovo et des disparités économiques importantes existant entre ce pays et la Suisse, le Tribunal ne saurait d'emblée écarter les réserves émises quant à un retour de A._______ à l'échéance du visa. La qualité de vie et les conditions socio-économiques difficiles qui ont cours au Kosovo ne sont pas sans exercer une pression migratoire importante sur la population locale (cf. à ce sujet arrêt du TAF C-5583/2008 du 19 janvier 2010 consid. 4.3). Cette tendance est encore renforcée lorsque l'invité peut s'appuyer à l'étranger sur un réseau social préexistant (parents, amis), comme c'est le cas pour l'intéressé.</w:t>
      </w:r>
    </w:p>
    <w:p>
      <w:r>
        <w:rPr>
          <w:b/>
        </w:rPr>
        <w:t>E. 8.1</w:t>
      </w:r>
    </w:p>
    <w:p>
      <w:r>
        <w:t>Cela étant, comme il a déjà été mentionné ci-dessus, la seule situation dans le pays d'origine ne suffit pas à conclure à l'absence de garantie quant à la sortie de l'Espace Schengen à l'issue du séjour, toutes les particularités du cas d'espèce devant être prises en considération.</w:t>
      </w:r>
    </w:p>
    <w:p>
      <w:r>
        <w:rPr>
          <w:b/>
        </w:rPr>
        <w:t>E. 8.2</w:t>
      </w:r>
    </w:p>
    <w:p>
      <w:r>
        <w:t>Il ressort du dossier des contradictions irréfragables sur la situation professionnelle de A._______ (52 ans). En effet, l'invité a déclaré, au moment du dépôt de sa demande de visa, qu'il était sans emploi au Kosovo. Dans un deuxième temps, le recourant a toutefois allégué que son oncle "possède un magasin de parquet dont il s'occupe avec ses fils" (cf. courrier du 10 novembre 2009 à la ville de Renens). Au stade du recours, une copie d'un contrat de travail a été versée au dossier: elle indique que A._______ est employé par l'entreprise "RIZA", dont son fils B._______ agit en tant que représentant. Pour autant, ce document, soit un contrat passé entre un père et son fils, n'a, aux yeux du Tribunal, qu'une faible valeur probante tant il semble avoir été produit pour les besoins de la cause. Ces doutes sont confortés par le fait que le contrat mentionne que A._______ a été engagé depuis le 1er janvier 2009 (non depuis le 1er janvier 2010 comme la traduction française le laisse entendre). Dans ces circonstances, le Tribunal ne s'explique pas pourquoi A._______ n'aurait pas mentionné sa profession lorsqu'il a complété le formulaire de demande de visa auprès de l'Ambassade de Suisse à Pristina. Pareillement, le Tribunal remarque que sur la déclaration de ménage commun (joint household) du 19 juin 2009, sur laquelle sont mentionnés les différents membres de la famille de l'intéressé, B._______ figure comme personne sans emploi. Or, à cette époque, il était déjà censé être à la tête de l'entreprise de parquet employant son père. A cela s'ajoute que l'invité a sollicité un visa de trois mois, une durée peu compatible avec l'exercice d'une activité lucrative. Certes, le recourant a prévu de voyager sans sa famille. Cependant, ces attaches familiales ne contrebalancent pas les sérieuses incertitudes qui entourent l'occupation économique de A._______ au Kosovo, d'autant que son épouse (femme au foyer) et ses autres fils C._______ (étudiant) et D._______ (sans emploi) ne disposent pas de ressources financières propres. Les craintes de voir A._______ prolonger son séjour sur territoire helvétique pour y profiter de meilleures conditions d'existence, par exemple en exerçant sans autorisation un emploi mieux rémunéré en Suisse qu'au Kosovo, sont dès lors réelles. Enfin, si le respect des termes fixés par les visas antérieurement obtenus par l'intéressé est un élément à prendre en considération, ce critère ne saurait supplanter l'examen individuel apporté au cas d'espèce, moins encore lorsqu'il apparaît que la situation économique de l'invité s'est sensiblement modifiée.</w:t>
      </w:r>
    </w:p>
    <w:p>
      <w:r>
        <w:rPr>
          <w:b/>
        </w:rPr>
        <w:t>E. 9</w:t>
      </w:r>
    </w:p>
    <w:p>
      <w:r>
        <w:t>Au demeurant, le refus de visa opposé à A._______ ne devrait pas constituer un obstacle au maintien de contacts avec le recourant, ce dernier étant susceptibles de lui rendre visite ultérieurement, nonobstant les inconvénients d'ordre pratique ou financier que cela pourrait engendrer.</w:t>
      </w:r>
    </w:p>
    <w:p>
      <w:r>
        <w:rPr>
          <w:b/>
        </w:rPr>
        <w:t>E. 10</w:t>
      </w:r>
    </w:p>
    <w:p>
      <w:r>
        <w:t>Il sied encore de relever que le refus d'une autorisation d'entrée ne remet nullement en cause la bonne foi ou l'honnêteté des personnes qui, résidant régulièrement en Suisse, ont invité un tiers ou un parent domicilié à l'étranger pour un séjour touristique et se sont engagées à garantir les frais y relatifs et le départ de leur invité. Les assurances données en la matière, comme celles formulées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précité consid. 9; arrêt du TAF C-1461/2008 du 17 mars 2009 consid. 9 et jurisprudence citée) et ne suffisent pas non plus à garantir que son départ interviendra dans les délais prévus.</w:t>
      </w:r>
    </w:p>
    <w:p>
      <w:r>
        <w:rPr>
          <w:b/>
        </w:rPr>
        <w:t>E. 11</w:t>
      </w:r>
    </w:p>
    <w:p>
      <w:r>
        <w:t>Par sa décision du 14 décembre 2009, l'ODM n'a donc ni violé le droit fédéral, ni constaté des faits pertinents de manière inexacte ou incomplète; en outre, cette décision n'est pas inopportune (art. 49 PA). En conséquence, le recours est rejeté.</w:t>
      </w:r>
    </w:p>
    <w:p>
      <w:r>
        <w:rPr>
          <w:b/>
        </w:rPr>
        <w:t>E. 12</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