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C-8097/2007 vom 16. September 2008</w:t>
      </w:r>
    </w:p>
    <w:p>
      <w:r>
        <w:t>Bundesverwaltungsgericht, 2008-09-16, FR</w:t>
      </w:r>
    </w:p>
    <w:p>
      <w:r>
        <w:rPr>
          <w:b/>
        </w:rPr>
        <w:t xml:space="preserve">Quelle: </w:t>
      </w:r>
      <w:r>
        <w:t>https://mcp.opencaselaw.ch/entscheid/bvger_C-8097_2007</w:t>
      </w:r>
    </w:p>
    <w:p>
      <w:r>
        <w:t>FR: TAF C-8097/2007 du 16 septembre 2008</w:t>
      </w:r>
    </w:p>
    <w:p>
      <w:r>
        <w:t>IT: TAF C-8097/2007 del 16 settembre 2008</w:t>
      </w:r>
    </w:p>
    <w:p>
      <w:pPr>
        <w:pStyle w:val="Heading2"/>
      </w:pPr>
      <w:r>
        <w:t>Regeste</w:t>
      </w:r>
    </w:p>
    <w:p>
      <w:r>
        <w:t>Aide sociale aux Suisses de l'étranger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particulier, les décisions en matière de refus d'assistance des Suisses de l'étranger prononcées par l'OFJ - lequel constitue une unité de l'administration fédérale telle que définie à l'art. 33 let. d LTAF - sont susceptibles de recours au TAF (art. 1 al. 2 LTAF).</w:t>
      </w:r>
    </w:p>
    <w:p>
      <w:r>
        <w:rPr>
          <w:b/>
        </w:rPr>
        <w:t>E. 1.3</w:t>
      </w:r>
    </w:p>
    <w:p>
      <w:r>
        <w:t>A moins que la LTAF n'en dispose autrement, la procédure devant le TAF est régie par la PA (art. 37 LTAF). A._______ a qualité pour recourir (art. 48 PA). Présenté dans la forme et les délais prescrits par la loi, son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Des prestations d'assistance ne sont allouées qu'aux Suisses de l'étranger qui ne peuvent subvenir dans une mesure suffisante à leur entretien par leurs propres moyens ou par une aide de source privée ou de l'Etat de résidence (art. 5 LASE). La nature et l'étendue de l'assistance se déterminent selon les conditions particulières du pays de résidence, compte tenu des besoins vitaux d'un Suisse habitant ce pays (art. 8 al. 1 LASE). Les doubles-nationaux dont la nationalité étrangère est prépondérante ne sont, en règle générale, pas mis au bénéfice d'une aide (art. 6 LASE). Sont notamment déterminants pour établir la nationalité prépondérante, les circonstances qui ont entraîné l'acquisition de la nationalité étrangère et les rapports que le requérant entretient avec la Suisse (art. 8 al. 1 de l'ordonnance du 26 novembre 1973 sur l'assistance des Suisses de l'étranger [ci-après: OASE, RS 852.11]).</w:t>
      </w:r>
    </w:p>
    <w:p>
      <w:r>
        <w:rPr>
          <w:b/>
        </w:rPr>
        <w:t>E. 4</w:t>
      </w:r>
    </w:p>
    <w:p>
      <w:r>
        <w:t>En vertu de l'art. 6 LASE, la Suisse n'accorde en principe aucune aide lorsque la nationalité étrangère est prépondérante. L'énoncé de cet article admet toutefois des exceptions à ce principe. Ni la loi, ni l'ordonnance ne définissent cependant les critères applicables à cet égard. Le législateur voulait ainsi prévenir des cas de rigueur et des injustices résultant d'une application stricte de la loi.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(cf. Max Imboden / René A. Rhinow, Schweizerische Verwaltungsrechtssprechung, Band I: Allgemeiner Teil, Bâle / Francfort-sur-le-Main 1986, n° 37 B, p. 226 ss). Par voie de conséquence, l'aide ne doit être accordée à des requérants dont la nationalité étrangère est prépondérante que dans des cas particulièrement graves, lorsque le refus d'assistance serait choquant, au vu de l'ensemble des circonstances (cf. Jurisprudence des autorités administratives de la Confédération [JAAC] 57.25).</w:t>
      </w:r>
    </w:p>
    <w:p>
      <w:r>
        <w:rPr>
          <w:b/>
        </w:rPr>
        <w:t>E. 5.1</w:t>
      </w:r>
    </w:p>
    <w:p>
      <w:r>
        <w:t>En l'espèce, il n'est pas contesté que A._______ est né libanais par filiation paternelle. Il a grandi et vécu en Syrie avec sa famille jusqu'à l'âge de 18 ans, puis a gagné le Liban où il a travaillé comme architecte durant près de 20 ans. En 1982, il a quitté son pays d'origine pour s'établir à Djeddah, en Arabie saoudite, où depuis il a fait sa vie aux côtés de son épouse. En novembre 2002, il a obtenu, avec ses enfants, la nationalité helvétique par la voie de la naturalisation facilité, du fait notamment des origines suisses de sa mère. Il est constant que jusqu'à l'âge de 57 ans, A._______ a été exclusivement de nationalité libanaise et qu'à l'instar de nombre de ses compatriotes, il a fait partie de la diaspora, contraint de s'exiler et de s'établir à l'étranger suite à la guerre civile qui a sévi au Liban. Vu son parcours, il ne fait pas de doute qu'en 2002, date où il a acquis le passeport helvétique, sa nationalité libanaise était nettement prépondérante. Il faut dès lors déterminer si au cours des années qui ont suivi, des liens particulièrement étroits auraient été tissés avec la Suisse pour permettre de considérer que sa nouvelle nationalité a supplanté l'ancienne.</w:t>
      </w:r>
    </w:p>
    <w:p>
      <w:r>
        <w:rPr>
          <w:b/>
        </w:rPr>
        <w:t>E. 5.2</w:t>
      </w:r>
    </w:p>
    <w:p>
      <w:r>
        <w:t>Le recourant soutient avoir toujours gardé des attaches avec la Suisse, même avant sa naturalisation facilitée, en participant par exemple aux réunions de l'Ambassade de Suisse à Damas. Le contact a en outre été maintenu avec les membres de sa famille maternelle résidant en Suisse. Il a effectué des voyages dans ce pays pour des vacances à quatre ou cinq reprises (notamment en 2003, 2004 et 2005). Le recourant relève encore qu'il est enregistré en tant que citoyen suisse auprès du Consulat de Suisse à Djeddah et qu'il n'a pas sollicité le renouvellement de son passeport libanais depuis qu'il est en possession d'un document helvétique. Certes, ces différents éléments démontrent que A._______ entretient des rapports affectifs avec la Suisse. Le Tribunal ne saurait pour autant considérer que les quelques années vécues, dans un pays tiers, en qualité de citoyen suisse l'emportent sur une existence au cours de laquelle le recourant s'est construit quasi exclusivement sous son identité libanaise. Le TAF relèvera à cet égard que l'intéressé n'a jamais étudié ou travaillé en Suisse. S'il a bien tenté de s'établir à Ecublens en 2004, il a finalement renoncé à son projet face, entre autres, aux difficultés rencontrées pour se loger. Il a d'ailleurs lui-même spontanément admis dans son recours qu'il n'avait aucun "motif pour aller s'installer en Suisse où l'on serait traiter (sic) comme des étrangers" (mémoire du 25 novembre 2007, p. 2). Aussi, c'est à juste titre que l'OFJ a retenu que la nationalité libanaise de A._______ était prépondérante au sens de l'art. 6 LASE et que celui-ci ne pouvait, en principe, être mis au bénéfice d'une aide. C'est également à raison que B._______ a été exclue du champ d'application de la LASE, la prénommée, ressortissante libano-syrienne, n'étant pas titulaire de la nationalité suisse (cf. art. 2 LASE et art. 1 OASE).</w:t>
      </w:r>
    </w:p>
    <w:p>
      <w:r>
        <w:rPr>
          <w:b/>
        </w:rPr>
        <w:t>E. 6</w:t>
      </w:r>
    </w:p>
    <w:p>
      <w:r>
        <w:t>Il reste à examiner si la situation personnelle de A._______ est constitutive d'un cas de rigueur susceptible de justifier une exception au principe de l'art. 6 LASE. Pareille exception trouve application lorsque l'existence physique du recourant est menacée (JAAC 57.25 consid. 4.4). Dans ses directives d'application consacrées à l'aide sociale aux Suisses et Suissesses de l'étranger du 1er mai 2008, l'OFJ retient les cas d'enfants mineurs (lorsque la nationalité prépondérante de l'un des parents est suisse), les adultes lourdement handicapés et frappés d'incapacité civile, les personnes en danger de mort imminent, souffrant de maladie très grave, d'invalidité réversible (par une opération) et celles victimes de faits de guerre, de catastrophe naturelle ou de troubles politiques (page d'accueil de l'OFJ &gt; Thèmes &gt; Migration &gt; Aide sociale aux Suisses de l'étranger &gt; Suisses de l'étranger &gt; Directives d'application pour les demandes d'aide sociale, visité le 4 août 2008). A._______ a souffert de divers problèmes cardiaques qui ont nécessité la pose d'un pacemaker en août 2001. Selon un certificat médical du 1er mars 2008, il présente des difficultés respiratoires (dyspnées) tant à l'effort qu'au repos ainsi que, de temps à autre, des palpitations qui perturbent ses activités journalières et son travail ("He presented with attacks of exertional and rest dyspnea and occasionally palpitation which disturbed his daily activities and work"). Contrairement à ce qu'allègue le recourant, il ne saurait être déduit de ce rapport médical qu'il n'est plus en mesure d'exercer aucune activité lucrative. La formulation dudit document fait plutôt penser que le recourant a pu continuer à être actif, même si, vu son âge (63 ans) et l'intervention subie, sa capacité de travail s'en est sans doute trouvée amoindrie. En outre, son état clinique est jugé stable et le refus d'allouer une assistance au recourant ne serait pas de nature à entraîner une mise en danger concrète de sa santé. Le Tribunal n'ignore pas que la situation financière de A._______ est tendue. Elle ne l'a toutefois pas empêché de financer les études universitaires de ses deux fils (21 et 23 ans) d'abord à l'EPFL, puis actuellement à Bolton (Angleterre). La famille de l'intéressé a aussi été en mesure de lui fournir un appui substantiel, ses frères établis à Dubaï lui ayant versé une aide de plus de Fr. 13'000.-- en juin 2007. L'entourage du recourant jouit ainsi de certains moyens qui, ajoutés à la capacité de travail restreinte dont dispose encore A._______ (en comparaison, cf. art. 5 LASE), paraissent propres à lui éviter de tomber dans une situation de détresse grave ou dans un dénuement tel qu'il heurte le sentiment de dignité humaine.</w:t>
      </w:r>
    </w:p>
    <w:p>
      <w:r>
        <w:rPr>
          <w:b/>
        </w:rPr>
        <w:t>E. 7</w:t>
      </w:r>
    </w:p>
    <w:p>
      <w:r>
        <w:t>Partant, eu égard aux considérations qui précèdent, l'autorité de première instance n'a, par sa décision du 22 octobre 2007, ni violé le droit fédéral, ni constaté des faits pertinents de manière inexacte ou incomplète; en outre, la décision attaquée n'est pas inopportune (art. 49 PA). Le recours doit dès lors être rejeté. En conséquence, il y aurait lieu de mettre des frais de procédure à la charge du recourant. Le TAF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