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C-8088/2007 vom 7. März 2008</w:t>
      </w:r>
    </w:p>
    <w:p>
      <w:r>
        <w:t>Bundesverwaltungsgericht, 2008-03-07, FR</w:t>
      </w:r>
    </w:p>
    <w:p>
      <w:r>
        <w:rPr>
          <w:b/>
        </w:rPr>
        <w:t xml:space="preserve">Quelle: </w:t>
      </w:r>
      <w:r>
        <w:t>https://mcp.opencaselaw.ch/entscheid/bvger_C-8088_2007</w:t>
      </w:r>
    </w:p>
    <w:p>
      <w:r>
        <w:t>FR: TAF C-8088/2007 du 7 mars 2008</w:t>
      </w:r>
    </w:p>
    <w:p>
      <w:r>
        <w:t>IT: TAF C-8088/2007 del 7 marzo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de 1986, RO 1986 1791), le règlement d'exécution du 1er mars 1949 de la loi fédérale sur le séjour et l'établissement des étrangers (aRSEE de 1949, RO 1949 I 232), et l'ordonnance du 20 avril 1983 sur la procédure d'approbation en droit des étrangers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l'occurence.</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A._______ et sa fille B._______ ont qualité pour recourir (cf. art. 48 al. 1 PA). Leur recours, présenté dans la forme et les délais prescrits par la loi, est recevable (cf. art. 50 et 52 PA).</w:t>
      </w:r>
    </w:p>
    <w:p>
      <w:r>
        <w:rPr>
          <w:b/>
        </w:rPr>
        <w:t>E. 1.5</w:t>
      </w:r>
    </w:p>
    <w:p>
      <w:r>
        <w:t>Avant de procéder à l'examen du recours au fond, le Tribunal observe d'emblée que la décision cantonale refusant de renouveler l'autorisation de séjour et prononçant le renvoi du territoire cantonal étant en force, suite à la décision rendue le 17 août 2006 par le SPOP-VD, confirmée le 22 mars 2007 par le Tribunal administratif du canton de Vaud, puis le 30 juillet 2007 par le Tribunal fédéral, l'objet de la présente procédure vise exclusivement à déterminer si c'est à bon droit que l'Office fédéral des migrations a étendu les effets de la décision cantonale de renvoi à tout le territoire de la Confédération. La requête des recourantes du 31 janvier 2008, visant à ce que leur cas soit examiné en application de l'art. 50 LEtr, est dès lors extrinsèque à l'objet du litige et, par voie de conséquence, irrecevable. En tout état de cause, en vertu de l'art. 126 al. 1 LEtr précité, l'art. 50 LEtr n'est de toute manière pas applicable dans le cadre de la requête en suspens. Par ailleurs, compte tenu du cadre litigieux de la présente procédure, c'est manifestement à tort que les recourantes invoquent un «déni de justice matériel sur une question essentielle» (cf. déterminations du 31 janvier 2008, ch. 3).</w:t>
      </w:r>
    </w:p>
    <w:p>
      <w:r>
        <w:rPr>
          <w:b/>
        </w:rPr>
        <w:t>E. 1.6</w:t>
      </w:r>
    </w:p>
    <w:p>
      <w:r>
        <w:t>S'agissant de la consultation des pièces du dossier cantonal, le Tribunal s'est déjà prononcé sur cette question dans sa décision incidente du 20 décembre 2007 et ne peut que renvoyer les recourantes à cette décision sur ce point.</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(décision qui relève de la compétence des autorités cantonales de police des étrangers [cf. art. 15 al. 1 et art. 18 aLSEE]).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Pour saisir la portée de la réglementation en matière d'extension à tout le territoire de la Confédération d'une décision cantonale de renvoi, il convient de se référer à l'art. 1a aLSEE. En vertu de cette disposition, tout étranger a le droit de résider sur le territoire suisse s'il est au bénéfice d'une autorisation de séjour ou d'établissement ou si, selon ladite loi, il n'a pas besoin d'une telle autorisation (cf. à ce propos l'art. 2 aLSEE, en relation avec l'art. 1 aRSEE). En dehors de ces hypothèses, le séjour de l'étranger en Suisse est illégal et ce dernier est donc tenu, ex lege, de quitter le territoire helvétique (cf. art. 12 aLSEE, en relation avec l'art. 23 al. 1 aLSEE qui sanctionne pénalement le séjour illégal; cf. Nicolas Wisard, Les renvois et leur exécution en droit des étrangers et en droit d'asile, Bâle/Francfort-sur-le-Main 1997, p. 90ss et 100ss, et réf. cit.). Le renvoi prononcé en application de l'art. 12 al. 3 phr. 1 aLSEE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aRSEE.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le renouvellement de l'autorisation de séjour et à prononcer le renvoi des recourantes de leur territoire (en l'espèce, en raison du fait que la vie commune des époux Stadelmann n'avait duré qu'une année, que le mariage de A._______ était vidé de toute substance et que l'intéressée commettait un abus de droit en l'invoquant pour obtenir la poursuite de son séjour en Suisse),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l'intégration scolaire de ses enfants), qui relèvent de la procédure cantonale d'autorisation et des voies de recours y afférentes, n'ont plus à être examinés par les autorités fédérales de police des étrangers, de même que le dossier sur lequel ses autorités se sont fondées pour prononcer leur décision, sous réserve de l'existence d'éventuels obstacles à l'exécution du renvoi au sens de l'art. 14a al. 2 à 4 aLSEE (cf. consid. 5 et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SPOP-VD du 17 août 2006 révoquant les autorisations de séjour de A._______ et de sa fille B._______ et prononçant leur renvoi du territoire cantonal a acquis force de chose jugée et, partant, est exécutoire. Les intéressées, à défaut d'être encore titulaire d'un titre de séjour, ne sont donc plus autorisées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la recourante et sa fille, qui ne se sont jamais prévalues d'attaches particulières avec un canton autre que celui de Vaud, auraient engagé, à la suite de la décision négative rendue par les autorités vaudoises, une nouvelle procédure d'autorisation dans un canton tiers qui se serait déclaré disposé à régler leurs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A._______ et de sa fille B._______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aLSEE ne sauraient donc remettre en cause la décision d'extension en tant que telle.</w:t>
      </w:r>
    </w:p>
    <w:p>
      <w:r>
        <w:rPr>
          <w:b/>
        </w:rPr>
        <w:t>E. 5.2</w:t>
      </w:r>
    </w:p>
    <w:p>
      <w:r>
        <w:t>L'exécution n'est pas possible lorsque l'étranger ne peut quitter la Suisse et ne peut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6.1</w:t>
      </w:r>
    </w:p>
    <w:p>
      <w:r>
        <w:t>La recourante et sa fille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Il s'ensuit que l'exécution du renvoi ne se heurte pas à des obstacles insurmontables d'ordre technique et s'avère possible (art. 14a al. 2 aLSEE).</w:t>
      </w:r>
    </w:p>
    <w:p>
      <w:r>
        <w:rPr>
          <w:b/>
        </w:rPr>
        <w:t>E. 6.2</w:t>
      </w:r>
    </w:p>
    <w:p>
      <w:r>
        <w:t>S'agissant de la licéité de l'exécution du renvoi, il convient d'examiner - sous l'angle notamment de l'art. 3 CEDH - si le renvoi des recourantes dans leur pays d'origine serait contraire aux engagements de la Suisse relevant du droit international. A cet égard, s'il est vrai que l'interdiction de la torture, des peines et traitements inhumains ou dégradants s'applique indépendamment de la reconnaissance de la qualité de réfugié (cf. Cour européenne des droits de l'homme (CEDH)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 En l'espèce, la recourante n'a pas démontré, pour elle, comme pour sa fille, l'existence d'un risque personnel, concret et sérieux d'être soumis à un traitement tombant sous le coup de l'art. 3 CEDH. Vu ce qui précède, l'exécution du renvoi de la recourante et de sa fille ne transgresse aucun engagement pris par la Suisse relevant du droit international, de sorte qu'elle s'avère licite (art. 14a al. 3 aLSEE).</w:t>
      </w:r>
    </w:p>
    <w:p>
      <w:r>
        <w:rPr>
          <w:b/>
        </w:rPr>
        <w:t>E. 6.3</w:t>
      </w:r>
    </w:p>
    <w:p>
      <w:r>
        <w:t>Selon l'art. 14a al. 4 aLSEE,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 A._______ allègue précisément que son renvoi et celui de sa fille en République du Bélarus seraient inexigibles car elles sont originaires de la région de Gomel, cette région ayant été polluée par des nucléides suite à l'accident survenu à la centrale de Tchernobyl. Cette pollution serait à l'origine d'un taux considérable de cancers et de dérèglements génétiques graves (cf. recours du 26 novembre 2007). Ainsi, un retour dans leur pays d'origine compromettrait l'avenir et la santé de la recourante et de sa fille. Cette argumentation ne saurait toutefois être retenue. Il convient de relever en premier lieu que l'accident de Tchernobyl s'est produit en avril 1986, soit il y a près de vingt-deux ans. Entendue le 11 janvier 2005, par la police de la ville de Lausanne, A._______ a déclaré à cette occasion qu'elle avait été élevée par ses parents à Gomel, ville dans laquelle elle a suivi sa scolarité obligatoire et étudié la pharmacie. Ayant obtenu son diplôme de pharmacienne en 1992, l'intéressée a travaillé à Gomel de 1992 jusqu'à son départ pour la Suisse en août 2002. Lors de son audition A._______ a encore précisé : « J'avais une très bonne situation dans mon pays et je n'avais nul besoin de venir en Suisse. Je cherchais juste un mari et un père pour ma fille ». Elle a également indiqué que toute sa famille était demeurée dans son pays (cf. procès-verbal d'audition du 11 janvier 2005, dossier cantonal). Ainsi, A._______, qui est librement restée à Gomel avec sa famille durant seize ans et quatre mois après l'accident survenu à Tchernobyl et qui indique n'être venue en Suisse en août 2002 que pour des motifs sentimentaux, ne saurait prétendre aujourd'hui que son renvoi et celui de sa fille en République du Bélarus seraient inexigibles en raison de l'accident survenu dans la centrale de Tchernobyl, il y a près de vingt-deux ans. Enfin, il n'est pas nécessaire que les intéressées retournent à Gomel précisément dans la mesure où elles sont libres de s'installer dans une autre région du Bélarus. A titre superfétatoire, le Tribunal relève également que la recourante et sa fille n'allèguent pas souffrir de problèmes de santé particuliers. Ainsi, le Tribunal constate que le renvoi de A._______ et de sa fille B._______ en République du Bélarus est raisonnablement exigible.</w:t>
      </w:r>
    </w:p>
    <w:p>
      <w:r>
        <w:rPr>
          <w:b/>
        </w:rPr>
        <w:t>E. 7</w:t>
      </w:r>
    </w:p>
    <w:p>
      <w:r>
        <w:t>Il ressort de ce qui précède que, par sa décision du 26 octobre 2007,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