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C-8087/2008 vom 28. Dezember 2009</w:t>
      </w:r>
    </w:p>
    <w:p>
      <w:r>
        <w:t>Bundesverwaltungsgericht, 2009-12-28, DE</w:t>
      </w:r>
    </w:p>
    <w:p>
      <w:r>
        <w:rPr>
          <w:b/>
        </w:rPr>
        <w:t xml:space="preserve">Quelle: </w:t>
      </w:r>
      <w:r>
        <w:t>https://mcp.opencaselaw.ch/entscheid/bvger_C-8087_2008</w:t>
      </w:r>
    </w:p>
    <w:p>
      <w:r>
        <w:t>FR: TAF C-8087/2008 du 28 décembre 2009</w:t>
      </w:r>
    </w:p>
    <w:p>
      <w:r>
        <w:t>IT: TAF C-8087/2008 del 28 dicembre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(dem Datum auch des Inkrafttretens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gemäss Art. 57 VEV nach neuem Recht fortgeführt (und damit insbesondere nach dem übergeordneten Schengen-Recht).</w:t>
      </w:r>
    </w:p>
    <w:p>
      <w:r>
        <w:rPr>
          <w:b/>
        </w:rPr>
        <w:t>E. 5.1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auch die Urteile des Bundesverwaltungsgerichts C-1509/2008 vom 13. Februar 2009 sowie C-3013/2008 vom 14. Februar 2009 jeweils E. 5.2 und E. 5.3).</w:t>
      </w:r>
    </w:p>
    <w:p>
      <w:r>
        <w:rPr>
          <w:b/>
        </w:rPr>
        <w:t>E. 6</w:t>
      </w:r>
    </w:p>
    <w:p>
      <w:r>
        <w:t>In Anhang I zur Verordnung (EG) Nr. 539/2001 des Rates vom 15. März 2001 (ABl. L 81 vom 21.03.2001, S. 1-7) sind diejenigen Staaten aufgelistet, deren Staatsangehörige beim Überschreiten der Aussengrenzen der Schengen-Mitgliedstaaten im Besitz eines Visums sein müssen. Ägypten ist in diesem Anhang aufgeführt, weshalb der Gesuchsteller der Visumspflicht unterliegt.</w:t>
      </w:r>
    </w:p>
    <w:p>
      <w:r>
        <w:rPr>
          <w:b/>
        </w:rPr>
        <w:t>E. 7.1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7.2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Ägypten hat den Übergang von einer staatlich gelenkten oder zumindest staatlich dominierten Wirtschaftsordnung zu einer Marktwirtschaft noch nicht abgeschlossen. Trotz mehrheitlich guter volkswirtschaftlicher Makrodaten des Haushaltjahres 2007/08 (über 7 Prozent Wachstum und eine Vervielfachung der ausländischen Direktinvestitionen in nur vier Jahren) steckt die reformorientierte Regierung Ägyptens derzeit in einer schwierigen wirtschaftlichen Situation. Die Inflationsrate ist im August 2008 auf 25,6 Prozent angestiegen, der höchsten Rate seit über 50 Jahren. Bereits seit Ende 2007 waren infolge der Entwicklung auf dem Weltmarkt in Ägypten die Preise für Grundnahrungsmittel stark angestiegen. Dies hat grosse Teile der Bevölkerung, die über die Hälfte ihres verfügbaren Einkommens für Lebensmittel ausgeben, an den Rand des Existenzminimums gebracht. Zudem hat die Weltwirtschaftskrise Ägypten zum Jahreswechsel 2008/09 voll erreicht. Das Wirtschaftswachstum ging im 3. und 4. Quartal 2008 stärker als erwartet auf 5,8 bzw. 4,1 Prozent zurück. Die ägyptische Regierung wird in den kommenden Jahren - nebst der Bekämpfung der Inflation - auch mit der Schaffung neuer Arbeitsplätze vor grosse Herausforderungen gestellt werden. Bei einem Bevölkerungswachstum von immer noch fast 2 Prozent kommen jedes Jahr rund 800'000 Schulabgänger neu auf den Arbeitsmarkt, von denen aber nur etwa 250'000 den Weg in geregelte Beschäftigungsverhältnisse finden (Quelle: Website des Auswärtigen Amtes, &lt;http://www.auswaertiges-amt.de&gt;, Länder, Reisen und Sicherheit &gt; Ägypten &gt; Wirtschaft, Stand: April 2009, besucht am 14. Dezember 2009). Aufgrund der geschilderten Rahmenbedingungen sind breite Bevölkerungsschichten unzweifelhaft von vergleichsweise schwierigen ökonomischen und sozialen Lebensbedingungen betroffen. Entsprechend hoch ist daher auch der Anteil jener, die versuchen, ins Ausland zu gelangen, um sich unter günstigeren Lebensbedingungen eine bessere Existenz aufbauen zu können. Der Trend zeigt sich erfahrungsgemäss besonders stark bei jüngeren und ungebundenen Personen, die durch die Anwesenheit von Verwandten oder Bekannten bereits über ein minimales soziales Beziehungsnetz im Ausland verfügen. Im Falle der Schweiz führt dies angesichts der restriktiven Zulassungsregelung nicht selten zur Umgehung ausländerrechtlicher Bestimmungen.</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Beim Gesuchsteller handelt es sich um einen 34-jährigen Mann, der im Zeitpunkt des Visumsantrags ledig war. Eine besondere Verwurzelung sehen die Beschwerdeführer im Umstand, dass der Gesuchsteller verlobt sei und bereits konkrete Pläne für eine Heirat bestünden. Ob diese Pläne in der Zwischenzeit verwirklicht wurden, ist nicht bekannt. Die Beschwerdeführer verzichteten auf eine entsprechende Aktualisierung des Sachverhalts; dies obwohl die Vorinstanz in der Vernehmlassung ausdrücklich erwähnt hatte, es fehlten genaue Informationen bzw. Belege über die persönlichen Lebensumstände des Gesuchstellers. Darüber hinaus kann im Zusammenhang mit den familiären Verhältnissen des Gesuchstellers den Akten nur entnommen werden, dass vor Ort noch Familienangehörige unbekannten Verwandtschaftsgrades leben sollen. Selbst wenn beim Gesuchsteller von der Existenz gewisser persönlicher und familiärer Wurzeln ausgegangen werden kann, sind damit aber noch keine eigentlichen Verpflichtungen dargetan, welche die Prognose einer anstandslosen und fristgerechten Wiederausreise begünstigen könnten.</w:t>
      </w:r>
    </w:p>
    <w:p>
      <w:r>
        <w:rPr>
          <w:b/>
        </w:rPr>
        <w:t>E. 8.2</w:t>
      </w:r>
    </w:p>
    <w:p>
      <w:r>
        <w:t>Im Zeitpunkt des Visumsantrags ging der Gesuchsteller keiner Erwerbstätigkeit nach. Gemäss Darstellung der Beschwerdeführer in der Rechtsmitteleingabe soll er kurz zuvor eine Stelle als Kellner in einem Hotel aufgegeben haben. Ob er inzwischen wieder eine Stelle gefunden hat bzw. von was er nun lebt, ist nicht aktenkundig. Vor diesem Hintergrund kann zumindest nicht davon ausgegangen werden, der Gesuchsteller befinde sich in beruflich gefestigten Verhältnissen und seine wirtschaftliche Existenz sei gesichert.</w:t>
      </w:r>
    </w:p>
    <w:p>
      <w:r>
        <w:rPr>
          <w:b/>
        </w:rPr>
        <w:t>E. 8.3</w:t>
      </w:r>
    </w:p>
    <w:p>
      <w:r>
        <w:t>Schliesslich ist nicht nachvollziehbar, wie all die im Einladungsschreiben erwähnten Aktivitäten (insbes. der Besuch von Sprachkursen) in dem vom Gesuchsteller angegebenen Zeitraum von zwei bis drei Wochen zu verwirklichen sein sollten. Es kann unter den gegebenen Umständen nicht ausgeschlossen werden, dass der Gesuchsteller - einmal in der Schweiz - versucht sein könnte, die Anwesenheit (beispielsweise gerade zum Besuch eines Sprachkurses) zu verlängern und später auf eine andere rechtliche Grundlage abzustellen.</w:t>
      </w:r>
    </w:p>
    <w:p>
      <w:r>
        <w:rPr>
          <w:b/>
        </w:rPr>
        <w:t>E. 8.4</w:t>
      </w:r>
    </w:p>
    <w:p>
      <w:r>
        <w:t>Vor dem aufgezeigten persönlichen und allgemeinen Hintergrund durfte die Vorinstanz demnach davon ausgehen, dass keine hinreichende Gewähr für eine fristgerechte und anstandslose Wiederausreise des Gesuchstellers nach einem Besuchsaufenthalt besteht. An dieser Beurteilung vermag die gegenteilige Zusicherung der Beschwerdeführer nichts zu ändern. Diese ist rechtlich nicht verbindlich und faktisch auch nicht durchsetzbar. Als Gastgeber können die Beschwerdeführer zwar für gewisse finanzielle Risiken im Zusammenhang mit dem Besuchsaufenthalt, aus nahe liegenden Gründen aber nicht für ein bestimmtes Verhalten ihres Gastes garantieren (anstelle vieler vgl. Urteile des Bundesverwaltungsgerichts C-204/2008 vom 5. März 2009 E. 8.4 und C-2618/2008 vom 26. Februar 2009 E. 11).</w:t>
      </w:r>
    </w:p>
    <w:p>
      <w:r>
        <w:rPr>
          <w:b/>
        </w:rPr>
        <w:t>E. 8.5</w:t>
      </w:r>
    </w:p>
    <w:p>
      <w:r>
        <w:t>Kommt hinzu, dass die Beschwerdeführer den Gesuchsteller erst seit April 2008 kennen und ihn - soweit ersichtlich - erst einmal persönlich getroffen haben. Entsprechend schwer dürfte für die Beschwerdeführer abzuschätzen sein, mit welcher Verlässlichkeit der Gesuchsteller - einmal mit einem Besuchsvisum eingereist - an den von ihm deklarierten Absichten festhalten würde.</w:t>
      </w:r>
    </w:p>
    <w:p>
      <w:r>
        <w:rPr>
          <w:b/>
        </w:rPr>
        <w:t>E. 9</w:t>
      </w:r>
    </w:p>
    <w:p>
      <w:r>
        <w:t>Aus vorstehenden Erwägungen folgt, dass die angefochtene Verfügung im Lichte von Art. 49 VwVG nicht zu beanstanden ist. Die Beschwerde ist daher abzuweisen.</w:t>
      </w:r>
    </w:p>
    <w:p>
      <w:r>
        <w:rPr>
          <w:b/>
        </w:rPr>
        <w:t>E. 10</w:t>
      </w:r>
    </w:p>
    <w:p>
      <w:r>
        <w:t>Entsprechend dem Ausgang des Verfahrens werden die unterliegenden Beschwerdeführer kostenpflichtig (Art. 63 Abs. 1 VwVG, Art. 1, 2 und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