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C-807/2010 vom 16. Juni 2011</w:t>
      </w:r>
    </w:p>
    <w:p>
      <w:r>
        <w:t>Bundesverwaltungsgericht, 2011-06-16, FR</w:t>
      </w:r>
    </w:p>
    <w:p>
      <w:r>
        <w:rPr>
          <w:b/>
        </w:rPr>
        <w:t xml:space="preserve">Quelle: </w:t>
      </w:r>
      <w:r>
        <w:t>https://mcp.opencaselaw.ch/entscheid/bvger_C-807_2010</w:t>
      </w:r>
    </w:p>
    <w:p>
      <w:r>
        <w:t>FR: TAF C-807/2010 du 16 juin 2011</w:t>
      </w:r>
    </w:p>
    <w:p>
      <w:r>
        <w:t>IT: TAF C-807/2010 del 16 giugno 2011</w:t>
      </w:r>
    </w:p>
    <w:p>
      <w:pPr>
        <w:pStyle w:val="Heading2"/>
      </w:pPr>
      <w:r>
        <w:t>Regeste</w:t>
      </w:r>
    </w:p>
    <w:p>
      <w:r>
        <w:t>Droit à la rente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(pce 1 TAF) et la forme prescrits (art. 60 LPGA et 52 PA), l'avance de frais fournie dans le délai,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dès lors applicables. En ce qui concerne les faits déterminants, selon la jurisprudence, le Tribunal de céans doit se limiter à examiner la situation de fait existant jusqu'à la date de la décision attaquée (ATF 130 V 445 consid. 1.2).</w:t>
      </w:r>
    </w:p>
    <w:p>
      <w:r>
        <w:rPr>
          <w:b/>
        </w:rPr>
        <w:t>E. 5.1</w:t>
      </w:r>
    </w:p>
    <w:p>
      <w:r>
        <w:t>Tout requérant doit remplir cumulativement les conditions suivantes pour avoir droit à une rente de l'assurance-invalidité suisse: - être invalide au sens de la LPGA/LAI et - avoir versé des cotisations à l'AVS/AI suisse durant trois années au moins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w:t>
      </w:r>
    </w:p>
    <w:p>
      <w:r>
        <w:rPr>
          <w:b/>
        </w:rPr>
        <w:t>E. 5.2</w:t>
      </w:r>
    </w:p>
    <w:p>
      <w:r>
        <w:t>En l'occurrence, le recourant a versé des cotisations à l'AVS/AI pendant plus de trois années au total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Conformément à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Le droit à la rente prend naissance au plus tôt à l'échéance d'une période de 6 mois à compter de la date à laquelle l'assuré a fait valoir son droit aux prestations (art. 29 al. 1 LAI).</w:t>
      </w:r>
    </w:p>
    <w:p>
      <w:r>
        <w:rPr>
          <w:b/>
        </w:rPr>
        <w:t>E. 6.3</w:t>
      </w:r>
    </w:p>
    <w:p>
      <w:r>
        <w:t>Un assuré a droit à un quart de rente s'il est invalide à 40% au moins, à une demi-rente s'il est invalide à 50%, à trois-quarts de rente s'il est invalide à 60% et à une rente entière s'il est invalide à 70% au moins (art. 28 al. 2 LAI). Suite à l'entrée en vigueur le 1er juin 2002 de l'ALCP, la restriction prévue à l'art. 29 al. 4 LAI selon laquelle les rentes correspondant à un taux d'invalidité inférieur à 50% ne sont versées qu'aux assurés qui ont leur domicile et leur résidence habituelle en Suisse n'est pas applicable lorsqu'un assuré est un ressortissant suisse ou de l'UE et y réside (ATF 130 V 253 consid. 2.3).</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recourant a travaillé en Suisse de 1979 à 1991 en qualité de manoeuvre dans la construction. Il est ensuite retourné dans son pays d'origine et y a exercé la profession de maçon. L'assuré a arrêté son activité professionnelle le 10 décembre 2007.</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8</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Dans la présente occurrence, il est établi que le recourant souffre essentiellement de troubles à la colonne vertébrale et des séquelles d'un asthme bronchial sévère. L'autorité inférieure, se fondant sur le rapport E 213 du 11 mars 2009 de la Dresse Munoz Bermejo, a considéré que l'assuré pouvait, à compter du 11 décembre 2007, reprendre à 50% son métier de maçon et à 90% une activité de substitution légère et adaptée à son état de santé. Le recourant, pour sa part, a pour l'essentiel fait valoir que la sécurité sociale de son pays d'origine lui a reconnu une incapacité de travail totale et permanente ainsi qu'une invalidité de 50% et que sa situation clinique le rend incapable de travailler.</w:t>
      </w:r>
    </w:p>
    <w:p>
      <w:r>
        <w:rPr>
          <w:b/>
        </w:rPr>
        <w:t>E. 9.2</w:t>
      </w:r>
    </w:p>
    <w:p>
      <w:r>
        <w:t>A titre liminaire, il sied de rappeler que le degré d'invalidité d'un assuré qui prétend une rente de l'assurance-invalidité suisse est déterminé exclusivement d'après le droit suisse (cf. supra 3). Aussi, contrairement à ce que soutient le recourant, les décisions de la sécurité sociale espagnole ne lient-t-elles pas les autorités suisses. Il est certes patent, en l'espèce, au vu des affections diagnostiquées par les spécialistes sollicités, que l'assuré présente une certaine incapacité de travail dans une activité nécessitant de porter des charges ou exigeant l'exposition à la poussière, à l'exemple de la profession de maçon qu'il a exercée en dernier lieu en Espagne. L'autorité de céans ne voit toutefois pas en quoi le recourant serait empêché ou diminué s'agissant d'une activité légère n'impliquant pas de port de charges ni l'exposition à des substances. Les conclusions prises par la Dresse Munoz Bermejo de l'INSS, dans son rapport E 213, sont à cet égard claires et univoques et ont par ailleurs été reprises par le Dr Haesler, dans sa prise de position du 2 octobre 2009, qui a néanmoins reconnu une incapacité de 10% même dans une activité de substitution. Ledit rapport E 213 ne contient pas d'incohérence et repose sur une étude complète et circonstanciée de la situation médicale du recourant ainsi que sur des constatations objectives établies par les examens radiologiques et les spirométries notamment. Il remplit ainsi les conditions posées par la jurisprudence en la matière (supra consid. 8). Il est le lieu de rappeler que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Le Tribunal de céans relève encore que le recourant n'a fourni aucune pièce médicale susceptible de remettre en cause l'appréciation émise par les Drs Munoz Bermejo et Haesler sur le plan orthopédique et respiratoire et ne fait pas valoir souffrir d'affections d'un autre type. Il convient de souligner enfin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9.3</w:t>
      </w:r>
    </w:p>
    <w:p>
      <w:r>
        <w:t>Eu égard à ce qui précède, le tribunal de céans fait sienne l'appréciation de l'OAIE et de son service médical et considère dès lors que le recourant dispose d'une capacité de travail de 90% dans une activité de substitution légère et adaptée. L'activité de maçon n'est en revanche plus exigible dans une mesure supérieure à 60%.</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10.4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11.1</w:t>
      </w:r>
    </w:p>
    <w:p>
      <w:r>
        <w:t>En l'espèce, le recourant a travaillé en Espagne en dernier lieu en qualité de maçon. Le Tribunal de céans, à l'instar de l'autorité inférieure, se fie aux données statistiques suisses plutôt qu'aux espagnoles, lesquelles ne présentent pas - faute d'en connaître la méthodologie - la même fiabilité et représentativité que celles disponibles pour la Suisse (cf. arrêt du Tribunal fédéral I 232/06 du 25 octobre 2006 consid. 4 et arrêt du Tribunal administratif fédéral C-3053/2006 du 4 septembre 2008 consid. 10.2.2). L'important dans l'évaluation de l'invalidité est en effet que les deux éléments comparés, à savoir revenu sans invalidité et revenu d'invalide, soient équivalents, c'est à dire qu'ils se rapportent à un même marché du travail et à une même année de référence (ATF 110 V 273 consid. 4d; arrêt du Tribunal fédéral I 383/06 du 5 avril 2007 consid. 4.4). Le salaire statistique mensuel moyen d'un salarié avec des connaissances professionnelles spécialisées dans la construction en 2006 était ainsi de Fr. 5'422.- (Tableau TA1, Enquête suisse sur la structure des salaires, valable pour 2006). Après adaptation au nombre d'heures de travail effectuées en 2006 en moyenne dans le domaine de la construction, à savoir 41.7 heures (par rapport aux 40 heures de base), on obtient un revenu sans invalidité de Fr. 5'652.44.</w:t>
      </w:r>
    </w:p>
    <w:p>
      <w:r>
        <w:rPr>
          <w:b/>
        </w:rPr>
        <w:t>E. 11.2</w:t>
      </w:r>
    </w:p>
    <w:p>
      <w:r>
        <w:t>Les activités de substitution, exigibles à 90% à compter du 11 décembre 2007, sont des activités légères et adaptées à l'état de santé du recourant comparables à des activités simples et répétitives dans les secteurs de la production en général (dont le revenu statistique mensuel moyen en Suisse en 2006 est de Fr. 5'012.-), du commerce de gros/intermédiaire de commerce (Fr. 4'792.-), du commerce de détail/réparation d'articles domestiques (Fr. 4'383.-). Le revenu statistique moyen pour ces activités est de Fr. 4'729.-, soit Fr. 4'929.98 après adaptation au nombre d'heures de travail effectuées en 2006 en moyenne dans le secteur tertiaire (41.7 heures par rapport aux 40 heures de base, La Vie économique 12-2009, B9.2). Compte tenu de l'âge de l'assuré au jour de la décision querellée (51 ans) et de son handicap, on peut appliquer, tout comme l'a fait l'autorité inférieure, un taux de réduction du salaire d'invalide de 10%, attendu que le maximum admis par la jurisprudence est de 25% (ATF 126 V 75). Son revenu mensuel d'invalide est dès lors de Fr. 4'436.98. Pour une activité à 90% cela correspond à un montant de Fr. 3'993.29.</w:t>
      </w:r>
    </w:p>
    <w:p>
      <w:r>
        <w:rPr>
          <w:b/>
        </w:rPr>
        <w:t>E. 11.3</w:t>
      </w:r>
    </w:p>
    <w:p>
      <w:r>
        <w:t>La comparaison du revenu sans invalidité de Fr. 5'652.44 au revenu d'invalide de Fr. 3'993.29 fait apparaître un préjudice économique de 29.35%, taux insuffisant pour ouvrir le droit à une rente d'invalidité. Même s'il fallait indexer les revenus avant et après invalidité jusqu'à 2009, année du début d'un éventuel droit à la rente, on n'atteindrait pas une perte de gain de 40% ouvrant le droit à un quart de rente.</w:t>
      </w:r>
    </w:p>
    <w:p>
      <w:r>
        <w:rPr>
          <w:b/>
        </w:rPr>
        <w:t>E. 12</w:t>
      </w:r>
    </w:p>
    <w:p>
      <w:r>
        <w:t>Le recours du 8 février 2010, manifestement infondé, doit partant être rejeté dans une procédure à juge unique (art. 85bis al. 3 de la loi fédérale du 20 décembre 1946 sur l'assurance-vieillesse et survivants [LAVS, RS 831.10], applicable par le renvoi de l'art. 69 al. 2 LAI).</w:t>
      </w:r>
    </w:p>
    <w:p>
      <w:r>
        <w:rPr>
          <w:b/>
        </w:rPr>
        <w:t>E. 13.1</w:t>
      </w:r>
    </w:p>
    <w:p>
      <w:r>
        <w:t>Vu l'issue de la procédure, les frais de celle-ci, fixés à Fr. 300.-, sont mis à la charge du recourant (art. 63 al. 1 PA, applicable par le truchement de l'art. 37 LTAF). Ils sont compensés par l'avance de frais du même montant dont il s'est acquitté au cours de l'instruction.</w:t>
      </w:r>
    </w:p>
    <w:p>
      <w:r>
        <w:rPr>
          <w:b/>
        </w:rPr>
        <w:t>E. 13.2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