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C-8077/2007 vom 10. Dezember 2009</w:t>
      </w:r>
    </w:p>
    <w:p>
      <w:r>
        <w:t>Bundesverwaltungsgericht, 2009-12-10, FR</w:t>
      </w:r>
    </w:p>
    <w:p>
      <w:r>
        <w:rPr>
          <w:b/>
        </w:rPr>
        <w:t xml:space="preserve">Quelle: </w:t>
      </w:r>
      <w:r>
        <w:t>https://mcp.opencaselaw.ch/entscheid/bvger_C-8077_2007</w:t>
      </w:r>
    </w:p>
    <w:p>
      <w:r>
        <w:t>FR: TAF C-8077/2007 du 10 décembre 2009</w:t>
      </w:r>
    </w:p>
    <w:p>
      <w:r>
        <w:t>IT: TAF C-8077/2007 del 10 dicembre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3.2</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3.3</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3.4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w:t>
      </w:r>
    </w:p>
    <w:p>
      <w:r>
        <w:rPr>
          <w:b/>
        </w:rPr>
        <w:t>E. 4.1</w:t>
      </w:r>
    </w:p>
    <w:p>
      <w:r>
        <w:t>En date du 15 mai 2007, le recourant a présenté une demande de reconsidération de la décision du 24 octobre 2005 dans le sens de l'octroi d'une rente entière. Il convient de relever que c'est à juste titre que l'autorité inférieure a considéré qu'il s'agissait d'une demande de révision au sens de l'art. 17 LPGA, le recourant ayant allégué une aggravation de son état de santé depuis le prononcé de la décision du 24 octobre 2005 lui ayant reconnu, par reconduction, une demi-rente à compter du 1er septembre 2004.</w:t>
      </w:r>
    </w:p>
    <w:p>
      <w:r>
        <w:rPr>
          <w:b/>
        </w:rPr>
        <w:t>E. 4.2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4.3</w:t>
      </w:r>
    </w:p>
    <w:p>
      <w:r>
        <w:t>En application de l'art. 87 al. 3 du règlement du 17 janvier 1961 sur l'assurance-invalidité (RAI, RS 831.201),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d'entrée en matière.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(ce qu'elle n'a pas fait en l'espèce), elle doit instruire la cause (ce qu'elle n'a pas non plus fait dans la cas en examen) et déterminer si la modification du degré d'invalidité rendue plausible par l'assuré s'est effectivement produite (ATF 130 V 71 consid. 2.2).</w:t>
      </w:r>
    </w:p>
    <w:p>
      <w:r>
        <w:rPr>
          <w:b/>
        </w:rPr>
        <w:t>E. 4.4</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demande de révision (ATF 130 V 349 consid. 3.5; arrêt du Tribunal fédéral I 187/05 du 11 mai 2006).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Selon la jurisprudence, les principes développés en relation avec une nouvelle demande de prestations (art. 87 al. 3 et 4 RAI) sont applicables, par analogie, à la demande de révision (ATF 130 V 71 consid. 3, 109 V 262 consid. 3).</w:t>
      </w:r>
    </w:p>
    <w:p>
      <w:r>
        <w:rPr>
          <w:b/>
        </w:rPr>
        <w:t>E. 5</w:t>
      </w:r>
    </w:p>
    <w:p>
      <w:r>
        <w:t>Il faut dès lors examiner la question de savoir si c'est à juste titre que l'administration a rendu une décision de refus d'entrer en matière.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5.1</w:t>
      </w:r>
    </w:p>
    <w:p>
      <w:r>
        <w:t>En l'espèce, l'OAIE a reconnu au recourant par décision du 24 octobre 2005 le droit à une demi-rente à compter du 1er septembre 2004. Le recourant a déposé une demande de révision de son droit à la rente le 15 mai 2007, soit une année et demie après la décision du 24 octobre 2005 qui s'est fondée essentiellement sur une documentation médicale établie en juin-juillet 2005 (rapports des Drs D._______, E._______; rapport E 213) et le rapport du Dr F._______, médecin de l'OAIE, du 26 août 2005. Dans son rapport médical déterminant pour la décision du 24 octobre 2005, le médecin de l'OAIE a retenu le diagnostic de lombalgie et de légère dépression réactive. Entre la documentation médicale déterminante pour la décision d'octobre 2005 et celle produite par l'assuré en 2007, précédant la décision attaquée du 22 octobre 2007, il s'est écoulé quelque deux ans. Il n'y a dès lors pas lieu de se montrer trop exigeant dans l'examen des allégations du recourant concernant la péjoration de son état de santé depuis la décision antérieure pour apprécier le caractère plausible de cette aggravation.</w:t>
      </w:r>
    </w:p>
    <w:p>
      <w:r>
        <w:rPr>
          <w:b/>
        </w:rPr>
        <w:t>E. 5.2</w:t>
      </w:r>
    </w:p>
    <w:p>
      <w:r>
        <w:t>Il appert de la documentation médicale nouvellement produite par le recourant à l'appui de la demande de révision qu'il est aujourd'hui dans l'incapacité totale de travailler en raison de l'aggravation des ses pathologies psychiatriques et orthopédiques. Il présente actuellement un syndrome d'anxiété dépressive grave prolongé réactif, état qui, contrairement à l'appréciation du médecin de l'OAIE, le Dr J._______, ne peut pas être defini comme stationnaire par rapport à celui prévalant en 2005. Il est également et nouvellement relevé une grande souffrance, un affaiblissement dépressif accentué, une faible capacité d'introspection rendant tout pronostic réservé (rapports du Dr H._______ et de Mme K._______). Du point de vue orthopédique, des changements dégénératifs diffus de la colonne cervicale, avec notamment l'existence de protrusions de C3-C6 et des modifications significatives en C5 et C6 sont nouvellement mis en évidence qui à ce niveau produisent une compression radiculaire par hernie discale complexe (rapports des Drs I._______ et E._______ [pce 217 s], cf. l'examen de résonance magnétique [pce 211]), occasionnant notamment une limitation à la flexion du tronc avec incidences dans les actes de la vie, ce qui empêche l'intéressé de réaliser des efforts, même légers (comme par exemple se chausser et se laver les pieds). Selon le Dr J._______ de l'OAIE, le rapport du Dr E._______ semblerait exagéré et ne se recouperait pas avec celui du Dr I._______. Il sied à cette égard de relever que le rapport du Dr E._______ est certes plus détaillé, mais s'accorde pour l'essentiel avec celui du Dr I._______, en particulier en ce qui concerne la compression radiculaire en C6 et les limitations importantes même dans l'accomplissement des actes les plus simples de la vie quotidienne. Cela étant, rien ne permet de mettre en doute de façon absolue et générique les constatations du Dr E._______ et son appréciation de l'incapacité de travail du recourant - identique par ailleurs à celle retenue par le Dr I.______ et le Dr H._______ - qui serait nouvellement affecté aussi d'un fort ralentissement cérébral avec détérioration des capacités cognitives et de la réponse réactive associée au syndrome d'anxiété dépressive grave et prolongé faisant qu'il se trouverait définitivement en incapacité totale pour toute activité professionnelle. Le Dr J._______ note aussi que le recourant serait sans traitement médicamenteux vu qu'il n'en est pas fait état alors que l'assuré était sous traitement médicamenteux auparavant. Certes, la non-indication d'un traitement médicamenteux peut surprendre. Cela ne suffit toutefois pas pour mettre en doute l'existence d'indices concrets d'une aggravation significative de l'état de santé du recourant attestée par plusieurs médecins qui, contrairement au médecin de l'OAIE, ont vu et/ou traité l'assuré, étant précisé qu'il paraît par ailleurs peu probable qu'il ne soit pas sous traitement médicamenteux vu ses pathologies et l'aggravation de celles-ci médicalement attestées par l'hôpital où il est suivi.</w:t>
      </w:r>
    </w:p>
    <w:p>
      <w:r>
        <w:rPr>
          <w:b/>
        </w:rPr>
        <w:t>E. 5.3</w:t>
      </w:r>
    </w:p>
    <w:p>
      <w:r>
        <w:t>Par conséquent, le Tribunal de céans ne peut que reconnaître et admettre que le recourant a rendu plausible, au sens de l'art. 87 al. 3 RAI, une aggravation significative de son état de santé, entre la décision du 24 octobre 2005 d'octroi d'une demi-rente et celle attaquée du 22 octobre 2007, justifiant une entrée en matière sur sa demande de révision du 15 mai 2007. Il s'ensuit la nécessité d'une instruction et - vu l'obligation de l'OAIE d'instruire d'office (cf. aussi art. 43 LPGA) dans la mesure où il doit entrer en matière sur la demande de révision du recourant - d'éventuellement ordonner une expertise pluridisciplinaire étant manifeste que l'examen de l'état de santé sur dossier ne permet pas de se déterminer au fond d'une manière définitive. Bien fondé le recours est admis et le dossier retourné à l'autorité inférieure pour qu'elle entre en matière, instruise la demande de révision du recourant du 15 mai 2007 et, cas échéant, ordonne une expertise pluridisciplinaire d'ordre psychiatrique et orthopédique.</w:t>
      </w:r>
    </w:p>
    <w:p>
      <w:r>
        <w:rPr>
          <w:b/>
        </w:rPr>
        <w:t>E. 6.1</w:t>
      </w:r>
    </w:p>
    <w:p>
      <w:r>
        <w:t>Il n'est pas perçu de frais de procédure.</w:t>
      </w:r>
    </w:p>
    <w:p>
      <w:r>
        <w:rPr>
          <w:b/>
        </w:rPr>
        <w:t>E. 6.2</w:t>
      </w:r>
    </w:p>
    <w:p>
      <w:r>
        <w:t>Le recourant ayant agi en étant représenté, il lui est alloué une indemnité globale de dépens de Fr. 2'000.- (art. 64 al. 1 PA et art. 7 ss du règlement du 21 février 2008 concernant les frais, dépens et indemnités fixés par le Tribunal administratif fédéral [FITAF, RS 173.320.2]), compte tenu de la difficulté de la cause et du volume du dossier ainsi que du travail effectué par l'avocat.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