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C-805/2006 vom 23. April 2007</w:t>
      </w:r>
    </w:p>
    <w:p>
      <w:r>
        <w:t>Bundesverwaltungsgericht, 2007-04-23, DE</w:t>
      </w:r>
    </w:p>
    <w:p>
      <w:r>
        <w:rPr>
          <w:b/>
        </w:rPr>
        <w:t xml:space="preserve">Quelle: </w:t>
      </w:r>
      <w:r>
        <w:t>https://mcp.opencaselaw.ch/entscheid/bvger_C-805_2006</w:t>
      </w:r>
    </w:p>
    <w:p>
      <w:r>
        <w:t>FR: TAF C-805/2006 du 23 avril 2007</w:t>
      </w:r>
    </w:p>
    <w:p>
      <w:r>
        <w:t>IT: TAF C-805/2006 del 23 aprile 2007</w:t>
      </w:r>
    </w:p>
    <w:p>
      <w:pPr>
        <w:pStyle w:val="Heading2"/>
      </w:pPr>
      <w:r>
        <w:t>Regeste</w:t>
      </w:r>
    </w:p>
    <w:p>
      <w:r>
        <w:t>Einreise</w:t>
      </w:r>
    </w:p>
    <w:p>
      <w:pPr>
        <w:pStyle w:val="Heading2"/>
      </w:pPr>
      <w:r>
        <w:t>Erwägungen</w:t>
      </w:r>
    </w:p>
    <w:p>
      <w:r>
        <w:rPr>
          <w:b/>
        </w:rPr>
        <w:t>E. 1</w:t>
      </w:r>
    </w:p>
    <w:p>
      <w:r>
        <w:t>Verfügungen des Bundesamtes für Migration (BFM) betreffend Einreiseverweigerung unterliegen der Beschwerde an das Bundesverwaltungsgericht (Art. 20 Abs. 1 des Bundesgesetzes vom 26. März 1931 über Aufenthalt und Niederlassung der Ausländer [ANAG, SR 142.20], Art. 31 ff. des Verwaltungsgerichtsgesetzes vom 17. Juni 2005 [VGG, SR 173.32]). Das Urteil ist entgültig (Art. 1 Abs. 2 VGG i.V.m. Art. 83 Bst. c Ziff. 1 des Bundesgerichtsgesetzes vom 17. Juni 2005 [BGG, SR 173.110]).</w:t>
      </w:r>
    </w:p>
    <w:p>
      <w:r>
        <w:rPr>
          <w:b/>
        </w:rPr>
        <w:t>E. 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VGG). Das Verfahren richtet sich nach den Bestimmungen des Bundesgesetzes vom 20. Dezember 1968 über das Verwaltungsverfahren (VwVG, SR 172.021) soweit das Verwaltungsgerichtsgesetz nichts anderes bestimmt (vgl. Art. 37 VGG).</w:t>
      </w:r>
    </w:p>
    <w:p>
      <w:r>
        <w:rPr>
          <w:b/>
        </w:rPr>
        <w:t>E. 3</w:t>
      </w:r>
    </w:p>
    <w:p>
      <w:r>
        <w:t>Die Beschwerdeführerin ist als Adressatin der angefochtenen Verfügung zur Beschwerde legitimiert. Auf das frist- und formgerechte Rechtsmittel ist daher einzutreten (Art. 48 ff. VwVG).</w:t>
      </w:r>
    </w:p>
    <w:p>
      <w:r>
        <w:rPr>
          <w:b/>
        </w:rPr>
        <w:t>E. 4</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Einreiseersuchen zur Anwesenheit von bis zu drei Monaten, die bewilligungsfrei, aber unter Umständen visumpflichtig sind (vgl. Art. 2 Abs. 1 ANAG i.V.m den nachstehenden Visumsbestimmungen).</w:t>
      </w:r>
    </w:p>
    <w:p>
      <w:r>
        <w:rPr>
          <w:b/>
        </w:rPr>
        <w:t>E. 5</w:t>
      </w:r>
    </w:p>
    <w:p>
      <w:r>
        <w:t>Das Visum wird verweigert, wenn die Ausländerin oder der Ausländer die Einreisevoraussetzungen nach Art. 1 der Verordnung vom 14. Januar 1998 über Einreise und Anmeldung von Ausländerinnen und Ausländer (VEA, SR 142.211) nicht erfüllt (vgl. Art. 14 Abs. 1 VEA). So müssen Personen, die in die Schweiz reisen möchten, unter anderem Gewähr bieten, dass sie fristgerecht wieder ausreisen werden (Art. 1 Abs. 2 Bst. c. VEA).</w:t>
      </w:r>
    </w:p>
    <w:p>
      <w:r>
        <w:rPr>
          <w:b/>
        </w:rPr>
        <w:t>E. 6</w:t>
      </w:r>
    </w:p>
    <w:p>
      <w:r>
        <w:t>Die Beschwerdeführerin kann sich auf keine Ausnahmeregelung berufen und unterliegt aufgrund ihrer Nationalität den Visumsbestimmungen (vgl. Art. 1-5 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6.1</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Interessenalge in solchen Fällen nicht mit dem Ziel und Zweck einer zeitlich befristeten Einreisebewilligung im Einklang steht.</w:t>
      </w:r>
    </w:p>
    <w:p>
      <w:r>
        <w:rPr>
          <w:b/>
        </w:rPr>
        <w:t>E. 6.2</w:t>
      </w:r>
    </w:p>
    <w:p>
      <w:r>
        <w:t>Obschon sich die nach den Wahlen im Jahr 2002 eingesetzte Regierung von Driss Jettou die Bekämpfung der Armut durch dauerhaftes hohes Wirtschaftswachstum und Schaffung neuer Arbeitsplätze zum Ziel setzte und entsprechende Reformen einleitete, ist Einschätzungen zufolge das derzeitige Wirtschaftswachstum nicht ausreichend, um den Anteil der armen Bevölkerung dauerhaft zu senken. Die hohe Arbeitslosigkeit und der hohe Anteil von Unterbeschäftigten stellt ebenfalls weiterhin ein Problem dar. Von der Arbeitslosigkeit insbesondere betroffen ist die junge urbane Bevölkerung, deren Arbeitslosigkeit auf 33% geschätzt wird (vgl. Background Note auf der Website des U.S. Department of State &gt; Countries &gt; Background Notes &gt; Morocco, &lt;http://www.state.gov/, besucht am 17. April 2007; Länder- und Reiseinformationen auf der Website des Auswärtigen Amtes, Länder- und Reiseinformationen &gt; Marokko &gt; Wirtschaft, &lt;http://www.auswaertiges-amt.de&gt;, besucht am 17. April 2007).</w:t>
      </w:r>
    </w:p>
    <w:p>
      <w:r>
        <w:rPr>
          <w:b/>
        </w:rPr>
        <w:t>E. 6.3</w:t>
      </w:r>
    </w:p>
    <w:p>
      <w:r>
        <w:t>In Anbetracht dieser schwierigen wirtschaftlichen Situation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spezifischen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7</w:t>
      </w:r>
    </w:p>
    <w:p>
      <w:r>
        <w:t>Die Beschwerdeführerin ist 23-jährig, ledig und nach eigenen Angaben seit Oktober 2006 als kaufmännische Angestellte bei einem Fabrikationsbetrieb in Casablanca tätig. Neben diesen beruflichen Verpflichtungen bringt die Beschwerdeführerin vor, für ihre pflegebedürftige Mutter zu sorgen. Dadurch macht sie zwar durchaus gewisse berufliche und familiäre Verpflichtungen im Heimatland geltend. Wie nachfolgend dargelegt wird, bilden diese Verpflichtungen im vorliegenden Fall indessen keine hinreichende Garantie für eine anstandslose und fristgerechte Wiederausreise nach erfolgtem Besuchsaufenthalt.</w:t>
      </w:r>
    </w:p>
    <w:p>
      <w:r>
        <w:rPr>
          <w:b/>
        </w:rPr>
        <w:t>E. 7.1</w:t>
      </w:r>
    </w:p>
    <w:p>
      <w:r>
        <w:t>Die generelle schwierige wirtschaftliche Lage wirkt sich, wie unter Ziffer 6.2 ausgeführt, insbesondere auf die junge urbane Bevölkerung aus. Die Beschwerdeführerin verfügt zwar gemäss ihren eigenen Angaben über eine Arbeitsstelle und ist somit nicht unmittelbar von Arbeitslosigkeit betroffen. Das Arbeitsverhältnis besteht indessen erst seit Oktober 2006. Zuvor war die Beschwerdeführerin Schülerin und übte keine berufliche Tätigkeit aus. Unter Berücksichtigung der schwierigen wirtschaftlichen Perspektiven sowie angesichts des erst kürzlichen Stellenantritts und des Alters der Beschwerdeführerin kann indessen nicht auf eine massgebliche berufliche Verankerung im Heimatland geschlossen werden, welche gegen eine Emigration ins Ausland sprechen würde.</w:t>
      </w:r>
    </w:p>
    <w:p>
      <w:r>
        <w:rPr>
          <w:b/>
        </w:rPr>
        <w:t>E. 7.2</w:t>
      </w:r>
    </w:p>
    <w:p>
      <w:r>
        <w:t>Ebenso wenig wird die Prognose der fristgerechten Wiederausreise durch die geltend gemachte - aber nicht weiter ausgeführte - Betreuungsbedürftigkeit der Mutter begünstigt. Dass die Mutter an einer gichtähnlichen Erkrankung leidet und der Pflege bedarf, wird durch den Besuchsaufenthalt der Beschwerdeführerin in der Schweiz nicht in Frage gestellt. Die ursprünglich beantragte Aufenthaltsdauer von drei Monaten lässt jedoch auf Betreuungsmöglichkeiten schliessen, die auch eine längere Abwesenheit der Beschwerdeführerin ermöglichen könnten. Ausserdem ist der Wunsch nach einer Emigration häufig auch mit der Hoffnung und Erwartung verbunden, nahe Angehörige später nachzuziehen zu können, oder zurückbleibende Familienangehörige aus dem Ausland effizienter unterstützen zu können. Daher erscheint die vorgebrachte familiäre Verpflichtung die fristgerechte Wiederausreise der Beschwerdeführerin nicht ausreichend zu gewährleisten, zumal eine ihre Schwestern ins Ausland emigrierte und die zweite Schwester ebenfalls einen solchen Schritt in Betracht zog.</w:t>
      </w:r>
    </w:p>
    <w:p>
      <w:r>
        <w:rPr>
          <w:b/>
        </w:rPr>
        <w:t>E. 7.3</w:t>
      </w:r>
    </w:p>
    <w:p>
      <w:r>
        <w:t>Folglich erscheinen die geltend gemachten familiären und beruflichen Verpflichtungen nicht ausreichend, um die fristgerechte Ausreise nach erfolgtem Besuchsaufenthalt als gesichert zu erachten.</w:t>
      </w:r>
    </w:p>
    <w:p>
      <w:r>
        <w:rPr>
          <w:b/>
        </w:rPr>
        <w:t>E. 7.4</w:t>
      </w:r>
    </w:p>
    <w:p>
      <w:r>
        <w:t>An diesem Ergebnis vermag auch die von den Gastgebern geleistete Garantieerklärung vom 16. Juni 2006 nichts zu ändern. Zwar haben sich die Gastgeber damit zur Übernahme sämtlicher Kosten für den Lebensunterhalt sowie der Rückreise der Beschwerdeführerin, bis zu einem Betrag von Fr. 20 000.-- verpflichtet. Die Gastgeber können jedoch aufgrund der Garantieerklärung nicht dazu angehalten werden, die fristgerechte Ausreise der Beschwerdeführerin zu veranlassen, weshalb die Verhältnisse der Beschwerdeführerin ausreichende Gewähr für eine fristgerechte Wiederausreise bieten müssen (vgl. Art. 1 Abs. 2 Bst. c VEA).</w:t>
      </w:r>
    </w:p>
    <w:p>
      <w:r>
        <w:rPr>
          <w:b/>
        </w:rPr>
        <w:t>E. 8.1</w:t>
      </w:r>
    </w:p>
    <w:p>
      <w:r>
        <w:t>Zu prüfen bleibt, ob die Verweigerung des Visums den Anspruch auf Gleichbehandlung verletzt. Die Beschwerdeführerin macht in diesem Sinne geltend, ihrer Schwester B._______ sei im Jahr 2004 die Einreise in die Schweiz bewilligt worden. Die damaligen Voraussetzungen und Bedingungen seien identisch gewesen mit dem vorliegenden Fall, weshalb in der angefochtenen Verfügung der Sachverhalt willkürlich bzw. unrichtig und falsch gewürdigt worden sei. Zu Recht verwies die Vorinstanz indessen darauf, dass die Schwester der Beschwerdeführerin (Ref-Nr. 2062068) zwecks Vorbereitung der Heirat mit anschliessender Wohnsitznahme in die Schweiz eingereist sei und daher der Fall nicht mit der Situation der Beschwerdeführerin verglichen werden könne. Aufgrund der beabsichtigten Heirat mit einem Schweizer Bürger wurde der Schwester der Beschwerdeführerin gestützt auf Art. 36 der Verordnung vom 6. Oktober 1986 über die Begrenzung der Zahl der Ausländer (BVO, SR 823.21) eine Aufenthaltsbewilligung des Kantons Basel-Landschaft in Aussicht gestellt, die ihr nach der Einreise in die Schweiz am 22. Januar 2004 ausgestellt wurde. Ihre Einreise unterstand somit entgegen den Ausführungen in der Beschwerdeschrift nicht den gleichen Voraussetzungen wie der Besuchsaufenthalt der Beschwerdeführerin. In ihrer Replik hält die Beschwerdeführerin an der Vergleichbarkeit insofern fest, als sie vorbringt, der Fall beweise, dass sich die Familie an die rechtlichen Bestimmungen halte, weil die Schwester, nachdem die Eheschliessung nicht zustande kam, die Schweiz ordnungsgemäss verlassen habe. Eine frühere fristgerechte Wiederausreise nach erfolgtem Aufenthalt in der Schweiz kann zwar im Rahmen der Gesamtbeurteilung einen Hinweis für die Beurteilung der Wiederausreise bieten. Im vorliegenden Fall beruft sich die Beschwerdeführerin jedoch auf das Verhalten ihrer Schwester, was für sich alleine die Prognose der fristgerechten Wiederausreise nicht begünstigt, sind doch die Verhältnisse der 15 Jahre jüngeren Beschwerdeführerin nicht mit ihrer Schwester identisch.</w:t>
      </w:r>
    </w:p>
    <w:p>
      <w:r>
        <w:rPr>
          <w:b/>
        </w:rPr>
        <w:t>E. 8.2</w:t>
      </w:r>
    </w:p>
    <w:p>
      <w:r>
        <w:t>Ferner beruft sich die Beschwerdeführerin auf die Rechtsgleichheit, indem sie in allgemeiner Weise auf die ständige Praxis verweist, wonach in ähnlich gelagerten Fällen die Einreise bewilligt werde. Der verfassungsrechtliche Gleichbehandlungsgrundsatz (Art. 8 Abs. 1 der Bundesverfassung der Schweizerischen Eidgenossenschaft vom 18. April 1999 [BV, SR 101]) gebietet in der Rechtsanwendung, zwei tatsächlich gleiche Situationen nicht ohne sachlichen Grund unterschiedlich zu behandeln (vgl. Pierre Tschannen/Ulrich Zimmerli/Regina Kiener, Allgemeines Verwaltungsrecht, Bern 2002, S. 120 f.). Die Beschwerdeführerin führt hingegen nicht aus, inwiefern dieser Grundsatz von der Vorinstanz nicht beachtet worden sei. Eine Verletzung des Gleichbehandlungsgebot ist daher nicht ersichtlich.</w:t>
      </w:r>
    </w:p>
    <w:p>
      <w:r>
        <w:rPr>
          <w:b/>
        </w:rPr>
        <w:t>E. 9</w:t>
      </w:r>
    </w:p>
    <w:p>
      <w:r>
        <w:t>Schliesslich verweist die Beschwerdeführerin auf das Recht auf Ehe und Familie (Art. 14 BV) sowie den Schutz der Privatsphäre (Art. 13 Abs. 1 BV). Sie bringt jedoch weder vor, die Einreiseverweigerung verletze den Anspruch auf Familienleben, noch legt sie einen solchen Eingriff dar. Dass die Verweigerung des Visums in das Familienleben zwischen der Beschwerdeführerin und ihrer Schwester eingreift, ist jedoch nicht erkennbar, bringt die Beschwerdeführerin selbst vor, ihre Schwester würde sie regelmässig in Marokko besuchen.</w:t>
      </w:r>
    </w:p>
    <w:p>
      <w:r>
        <w:rPr>
          <w:b/>
        </w:rPr>
        <w:t>E. 10</w:t>
      </w:r>
    </w:p>
    <w:p>
      <w:r>
        <w:t>Aus diesen Gründen ist somit nicht zu beanstanden, dass die Vorinstanz das öffentliche Interesse sowie die Beachtung der geltenden Bestimmungen entsprechend gewichtete und der Beschwerdeführerin die Einreise verweigerte. Die angefochtene Verfügung verletzt daher Bundesrecht nicht. Soweit für das vorliegende Urteil massgebend, wurde der rechtserhebliche Sachverhalt richtig und vollständig festgestellt (vgl. Art. 49 Bst. a und b VwVG). Der Sachverhalt ergibt sich hinreichend aus den Akten, weshalb eine Einvernahme der in der Schweiz lebenden Schwester und ihres Ehegatten als Zeugen nicht erforderlich ist (vgl. Art. 14 Abs. 1 VwVG). Die Vorinstanz hat zudem das ihr zustehende Ermessen pflichtgemäss ausgeübt (vgl. Art. 49 Bst. c VwVG).</w:t>
      </w:r>
    </w:p>
    <w:p>
      <w:r>
        <w:rPr>
          <w:b/>
        </w:rPr>
        <w:t>E. 11</w:t>
      </w:r>
    </w:p>
    <w:p>
      <w:r>
        <w:t>Die Beschwerde ist somit abzuweisen und die Verfahrenskosten sind der Beschwerdeführerin aufzuerlegen (Art. 63 Abs. 1 VwVG i.V.m. Art. 1 und Art. 2 sowie Art. 3 des Reglements vom 11. Dezember 2006 über die Kosten und Entschädigungen vor dem Bundesverwaltungsgericht [VGKE, SR 173.320.2]). *******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