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C-804/2012 vom 12. Juni 2013</w:t>
      </w:r>
    </w:p>
    <w:p>
      <w:r>
        <w:t>Bundesverwaltungsgericht, 2013-06-12, DE</w:t>
      </w:r>
    </w:p>
    <w:p>
      <w:r>
        <w:rPr>
          <w:b/>
        </w:rPr>
        <w:t xml:space="preserve">Quelle: </w:t>
      </w:r>
      <w:r>
        <w:t>https://mcp.opencaselaw.ch/entscheid/bvger_C-804_2012</w:t>
      </w:r>
    </w:p>
    <w:p>
      <w:r>
        <w:t>FR: TAF C-804/2012 du 12 juin 2013</w:t>
      </w:r>
    </w:p>
    <w:p>
      <w:r>
        <w:t>IT: TAF C-804/2012 del 12 giugno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gemäss Art. 48 Abs. 1 VwVG zur Beschwerde berechtigt. Auf seine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und 2011/43 E. 6.1).</w:t>
      </w:r>
    </w:p>
    <w:p>
      <w:r>
        <w:rPr>
          <w:b/>
        </w:rPr>
        <w:t>E. 3</w:t>
      </w:r>
    </w:p>
    <w:p>
      <w:r>
        <w:t>Die angefochtene Verfügung bezieht sich auf das Visumsgesuch eines minderjährigen Staatsangehörigen von Bangladesch, der seinen Vater während eines Monats in der Schweiz besuchen möchte. Da er sich nicht auf die EU/EFTA-Personenfreizügigkeitsabkommen berufen kann und die beabsichtigte Aufenthaltsdauer drei Monate nicht überschreitet, fällt sein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Bangladesch zu diesen Staaten zählt, unterliegt der Gesuchsteller der Visumspflicht.</w:t>
      </w:r>
    </w:p>
    <w:p>
      <w:r>
        <w:rPr>
          <w:b/>
        </w:rPr>
        <w:t>E. 5.2</w:t>
      </w:r>
    </w:p>
    <w:p>
      <w:r>
        <w:t>Im vorliegenden Fall hat die Vorinstanz ihre ablehnende Verfügung mit Zweifeln an der anstandslosen und fristgerechten Wiederausreise des Gesuchstellers sowie am Aufenthaltszweck begründet und dabei insbesondere auf die allgemeine Lage in seinem Heimatland und seine persönlichen Verhältnisse hingewiesen. Generell können zur Frage der Rückkehrbereitschaft jedoch lediglich Prognosen getroffen werden.</w:t>
      </w:r>
    </w:p>
    <w:p>
      <w:r>
        <w:rPr>
          <w:b/>
        </w:rPr>
        <w:t>E. 5.3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 dauernden Verbleibs als hoch eingeschätzt werden.</w:t>
      </w:r>
    </w:p>
    <w:p>
      <w:r>
        <w:rPr>
          <w:b/>
        </w:rPr>
        <w:t>E. 6.1</w:t>
      </w:r>
    </w:p>
    <w:p>
      <w:r>
        <w:t>Bangladesch hat der globalen Wirtschaftskrise gut Stand gehalten. Sein Wirtschaftswachstum betrug im vorangegangenen Haushaltsjahr (Juli 2011 bis Juni 2012) 6,3 Prozent; für das Haushaltsjahr 2013 wird vom IWF ein Wachstum von 5,8 Prozent prognostiziert. Infolge der gegenwärtigen wirtschaftlichen Schwäche der EU-Staaten und der USA, den beiden wichtigsten Exportmärkten für Bangladesch, ist das Exportwachstum allerdings stark zurückgegangen. Gleichzeitig führte der wachsende Energiebedarf zu einem rasanten Anstieg der Einfuhr von Erdölerzeugnissen. Beides führte dazu, dass die Handelsbilanz im Haushaltsjahr 2012 mit einem Defizit von etwa 10,4 Mrd. USD (2011 ungefähr 9 Mrd. USD) schloss. Die durchschnittliche jährliche Inflationsrate lag 2012 bei 10,6 Prozent, was als Folge des starken Anstiegs der Strompreise und der Transportkosten angesehen wird. Fast 31,5 Prozent der rasch wachsenden Bevölkerung (ca. 52 Millionen) leben unterhalb der Armutsgrenze von 1,25 USD pro Tag, was oft mit Unterernährung einhergeht. Angesichts der für viele schwierigen Lebensbedingungen besteht ein zunehmender Wunsch nach Auswanderung, dessen Realisierung sich u.a. daran zeigt, dass die Rücküberweisungen von Gastarbeitern um 10,3 Prozent gegenüber dem Vorjahr auf insgesamt 12,9 Mrd. USD angestiegen sind (Quelle: Deutsches Auswärtiges Amt &gt; http://www.auswaertiges-amt.de &gt; Aussen- und Europapolitik &gt; Länderinformationen &gt; Bangladesch &gt; Wirtschaft, Stand: März 2013, besucht im April 2013). In der Hauptstadt Dhaka leben rund 15 Millionen Menschen. 40 Prozent von ihnen drängen sich in den Elendsvierteln auf einem Zwanzigstel der Fläche. Für das kommende Jahrzehnt wird erwartet, dass die Einwohnerzahl der Hauptstadt, in die täglich etwa 1400 neue Siedler hineinströmen, auf 25 Millionen steigt (Quelle: "Die Zeit" Nr. 15 vom 4. April 2013 S. 33 [Wissen]).</w:t>
      </w:r>
    </w:p>
    <w:p>
      <w:r>
        <w:rPr>
          <w:b/>
        </w:rPr>
        <w:t>E. 6.2</w:t>
      </w:r>
    </w:p>
    <w:p>
      <w:r>
        <w:t>Abgesehen vom Umstand, dass der Gesuchsteller in Dhaka lebt und eine Privatschule besucht, sind seine wirtschaftlichen Lebensverhältnisse nicht bekannt. Die Botschaft in Dhaka hat in Bezug auf sein Einreisegesuch die Vermutung geäussert, dass die Scheidung seiner Eltern im Jahr 2002 dem Zweck diente, dem Vater die Ehe mit einer Schweizerin und damit ein Aufenthaltsrecht sowie den späteren Familiennachzug des Sohnes zu ermöglichen (vgl. Übermittlungsblatt der Botschaft zuhanden des BFM vom 23. August 2011). Nachvollziehbar ist diese Überlegung insofern, als sich der Beschwerdeführer unmittelbar vor dem Visumsgesuch seines Sohnes drei Monate in Bangladesch aufhielt und den sich für einen Familiennachzug gerade noch unter der kritischen Grenze von 12 Jahren befindlichen Sohn (vgl. Art. 47 Abs. 1 AuG i.V.m. Art. 126 Abs. 3 AuG) zu einem - während der Ehe mit einer Schweizerin angeblich nicht möglichen - Familienbesuch eingeladen hat. Der Beschwerdeführer versucht diese Vermutung dadurch zu entkräften, in dem er auf die kürzlich erfolgte Übertragung des Sorgerechts auf die Kindesmutter verweist. Da dieser Umstand jedoch keineswegs darauf schliessen lässt, dass der Gesuchsteller freiwillig in sein Heimatland zurückreisen bzw. von seinem Vater dorthin zurückgeschickt würde, kann hierauf nicht abgestellt werden. Vielmehr ist es nicht unwahrscheinlich, dass der Gesuchsteller angesichts der generell schlechten Zukunftsaussichten in seiner Heimat versuchen könnte, bei seinem Vater in der Schweiz zu bleiben. Aufgrund der nachfolgenden Erwägungen erübrigt sich aber eine abschliessende Antwort auf die Frage, welche Absichten mit dem beabsichtigten Besuchsaufenthalt verfolgt werden.</w:t>
      </w:r>
    </w:p>
    <w:p>
      <w:r>
        <w:rPr>
          <w:b/>
        </w:rPr>
        <w:t>E. 7.1</w:t>
      </w:r>
    </w:p>
    <w:p>
      <w:r>
        <w:t>Abgesehen von Zweifeln an der nicht fristgerechten Wiederausreise spricht auch der Aspekt der nicht gesicherten Finanzierung des Besuchsaufenthalts gegen die Erteilung einer Einreisebewilligung.</w:t>
      </w:r>
    </w:p>
    <w:p>
      <w:r>
        <w:rPr>
          <w:b/>
        </w:rPr>
        <w:t>E. 7.2</w:t>
      </w:r>
    </w:p>
    <w:p>
      <w:r>
        <w:t>Der Beschwerdeführer, eigenen Angaben zufolge arbeitslos mit geringem Nebenverdienst, hält seine finanziellen Mittel für ausreichend, um die Kosten für die Reise und für einen einmonatigen Aufenthalt seines Sohnes bestreiten zu können. Doch selbst wenn diese Einschätzung realistisch wäre, bleibt festzuhalten, dass die Berechnung der massgeblichen Unterhaltskosten nicht im Belieben eines Gastgebers steht, sondern sich nach allgemeinen Kriterien richtet. Derartige Kosten umfassen auch die von der Krankenversicherung nicht gedeckten Kosten für Krankheit und Unfall sowie die Kosten für eine allfällige Rückschaffung, die ansonsten das Gemeinwesen oder ein privater Erbringer von medizinischen Dienstleistungen zu tragen hätte (vgl. den Wortlaut von Art. 8 Abs. 1 VEV). An den Nachweis der hierfür ausreichenden finanziellen Mittel (Art. 5 Abs. 1 Bst. c SGK) sind daher gewisse Anforderungen zu stellen. Art. 5 Abs. 3 SGK präzisiert die Möglichkeiten, mit denen der entsprechende Nachweis erbracht werden kann, und hält fest, dass hierzu u.a. auch Verpflichtungserklärungen von Gastgebern gehören können, sofern dies in den nationalen Rechtsordnungen vorgesehen ist. Das schweizerische Ausländerrecht enthält entsprechende Regelungen in Art. 6 Abs. 3 AuG und Art. 8 VEV. Gemäss Art. 8 Abs. 5 VEV beträgt die von den kantonalen Bewilligungsbehörden für Einzelpersonen festzusetzende Garantiesumme 30'000 Franken.</w:t>
      </w:r>
    </w:p>
    <w:p>
      <w:r>
        <w:rPr>
          <w:b/>
        </w:rPr>
        <w:t>E. 7.3</w:t>
      </w:r>
    </w:p>
    <w:p>
      <w:r>
        <w:t>Der Beschwerdeführer hat zwar gegenüber dem Migrationsamt Zürich eine derartige Verpflichtungserklärung abgegeben; seinen eingereichten Einkommensbelegen zufolge verfügt er jedoch kaum über die Möglichkeit, diese auch einzulösen. Die ihm zustehende Arbeitslosenunterstützung lag in den Monaten Juli 2011 bis September 2011 zwischen rund 2'700 und 3'200 Franken netto; hiervon wurden die ihm ausgerichteten Löhne aus einer Nebenbeschäftigung in Abzug gebracht. Die aufgeführten Einkünfte reichen knapp, um die eigenen Bedürfnisse des Beschwerdeführers zu decken. Seine Ausführungen und sein Gesuch um unentgeltliche Rechtspflege lassen ebenso wenig darauf schliessen, dass sich seine Einkommenssituation verbessert hätte oder Ersparnisse vorhanden wären. Hieraus kann geschlossen werden, dass seine Garantieverpflichtung über 30'000 Franken gar nicht durchsetzbar wäre. Auf sein Beweisangebot, "eine vollständige Dokumentation über die aktuellen wirtschaftlichen Verhältnisse" beizubringen, sowie auf die von ihm erklärte Bereitschaft, "eine konkrete Kaution für die Aufenthaltsdauer zu leisten", ist daher nicht weiter einzugehen.</w:t>
      </w:r>
    </w:p>
    <w:p>
      <w:r>
        <w:rPr>
          <w:b/>
        </w:rPr>
        <w:t>E. 8</w:t>
      </w:r>
    </w:p>
    <w:p>
      <w:r>
        <w:t>Sowohl der Aspekt der nicht gesicherten Wiederausreise wie auch der fehlende Nachweis genügender Mittel für den beabsichtigten Besuchsaufenthalt bedeuten, dass ein für den gesamten Schengen-Raum gültiges "einheitliches Visum" nicht ausgestellt werden darf.</w:t>
      </w:r>
    </w:p>
    <w:p>
      <w:r>
        <w:rPr>
          <w:b/>
        </w:rPr>
        <w:t>E. 9</w:t>
      </w:r>
    </w:p>
    <w:p>
      <w:r>
        <w:t>Es bleibt zu prüfen, ob die Voraussetzungen für ein Visum mit räumlich beschränkter Gültigkeit gemäss Art. 2 Ziff. 4 Visakodex gegeben sind (vgl. E. 4.5). Die damit einhergehende Abweichung von den allgemeinen Einreisevoraussetzungen erfordert eine sorgfältige Abwägung der sich ge-genüberstehenden Interessen, die nicht leichthin zur Erteilung eines auf nationales Hoheitsgebiet beschränkten Visums führen darf. Im vorliegenden Fall sprechen u.U. internationale Verpflichtungen oder humanitäre Gründe für die Erteilung eines solchen Visums.</w:t>
      </w:r>
    </w:p>
    <w:p>
      <w:r>
        <w:rPr>
          <w:b/>
        </w:rPr>
        <w:t>E. 9.1</w:t>
      </w:r>
    </w:p>
    <w:p>
      <w:r>
        <w:t>Art. 8 der Konvention vom 4. November 1950 zum Schutze der Menschenrechte und Grundfreiheiten EMRK (EMRK, SR 0.101) - deckungsgleich mit Art. 13 Abs. 1 der Bundesver­fassung der Schweizerischen Eidgenossenschaft vom 18. April 1999 (BV, SR 101) - dient dem Schutz des Familien- und Privatle­bens, aus dem sich bei bestimmten familiären Konstellationen eine völkerrechtliche Verpflichtung zur Visumserteilung ableiten lässt (vgl. BVGE 2011/48 E. 6.3.2).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von Art.8 EMRK liegen. Die Konventionsgarantie schützt allerdings nur das Familienleben als solches, nicht aber die freie Wahl des für den Aufbau und die Führung des Familienle­bens günstigsten Ortes. Ein Eingriff in den Schutzbereich des Fa­milienle­bens liegt daher in aller Regel nicht vor, wenn den Beteiligten ohne weite­res zugemutet werden kann, das Familienleben bzw. die familiären Kontakte ausserhalb der Schweiz zu pflegen (vgl. BGE 135 I 153 E. 2.1). Eine Interessenabwägung nach Art. 8 Abs. 2 EMRK erübrigt sich unter diesen Umständen.</w:t>
      </w:r>
    </w:p>
    <w:p>
      <w:r>
        <w:rPr>
          <w:b/>
        </w:rPr>
        <w:t>E. 9.2</w:t>
      </w:r>
    </w:p>
    <w:p>
      <w:r>
        <w:t>Im Falle des Beschwerdeführers ist unbestritten, dass dieser regelmässig in sein Heimatland reiste (vgl. Beschwerdeschrift vom 12. Februar 2012 S. 4 oben). Im Jahr 2011 hielt sich A._______ sogar drei Monate dort auf, was zeigt, dass Vater und Sohn intensive Kontakte miteinander pflegen können. Vor diesem Hintergrund tangiert die dem Sohn verweigerte Einreise in die Schweiz das Recht auf ein gemeinsames Familienleben mit dem Vater nicht. Dieser macht denn auch nicht geltend, ihm seien Besuchsaufenthalte in Bangladesch - wie bis anhin - aus irgend welchen Gründen nicht mehr oder nur unter erschwerten Bedingungen möglich. Bei dieser Sachlage kann aus Art. 8 EMRK somit vorliegend kein Anspruch auf Erteilung eines auf das Gebiet der Schweiz beschränkten Visums abgeleitet werden.</w:t>
      </w:r>
    </w:p>
    <w:p>
      <w:r>
        <w:rPr>
          <w:b/>
        </w:rPr>
        <w:t>E. 9.3</w:t>
      </w:r>
    </w:p>
    <w:p>
      <w:r>
        <w:t>Der Beschwerdeführer hat keine Gründe genannt, welche die Erteilung eines Visums mit räumlich beschränkter Gültigkeit aus humanitären Gründen rechtfertigen würden. Ohnehin spricht der Umstand, dass Vater und Sohn ihre familiäre Beziehung im gemeinsamen Heimatland pflegen können, gegen die Notwendigkeit einer derartigen Ausnahme.</w:t>
      </w:r>
    </w:p>
    <w:p>
      <w:r>
        <w:rPr>
          <w:b/>
        </w:rPr>
        <w:t>E. 10</w:t>
      </w:r>
    </w:p>
    <w:p>
      <w:r>
        <w:t>Aus vorstehenden Erwägungen folgt, dass die angefochtene Verfügung im Lichte von Art. 49 VwVG nicht zu beanstanden ist. Die Beschwerde ist daher abzuweisen.</w:t>
      </w:r>
    </w:p>
    <w:p>
      <w:r>
        <w:rPr>
          <w:b/>
        </w:rPr>
        <w:t>E. 11</w:t>
      </w:r>
    </w:p>
    <w:p>
      <w:r>
        <w:t>Bei diesem Ausgang des Verfahrens sind die Kosten dem Be­schwerde­führer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