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C-8037/2008 vom 20. April 2012</w:t>
      </w:r>
    </w:p>
    <w:p>
      <w:r>
        <w:t>Bundesverwaltungsgericht, 2012-04-20, DE</w:t>
      </w:r>
    </w:p>
    <w:p>
      <w:r>
        <w:rPr>
          <w:b/>
        </w:rPr>
        <w:t xml:space="preserve">Quelle: </w:t>
      </w:r>
      <w:r>
        <w:t>https://mcp.opencaselaw.ch/entscheid/bvger_C-8037_2008</w:t>
      </w:r>
    </w:p>
    <w:p>
      <w:r>
        <w:t>FR: TAF C-8037/2008 du 20 avril 2012</w:t>
      </w:r>
    </w:p>
    <w:p>
      <w:r>
        <w:t>IT: TAF C-8037/2008 del 20 aprile 2012</w:t>
      </w:r>
    </w:p>
    <w:p>
      <w:pPr>
        <w:pStyle w:val="Heading2"/>
      </w:pPr>
      <w:r>
        <w:t>Regeste</w:t>
      </w:r>
    </w:p>
    <w:p>
      <w:r>
        <w:t>Ausdehnung der kantonalen Wegweisung</w:t>
      </w:r>
    </w:p>
    <w:p>
      <w:pPr>
        <w:pStyle w:val="Heading2"/>
      </w:pPr>
      <w:r>
        <w:t>Erwägungen</w:t>
      </w:r>
    </w:p>
    <w:p>
      <w:r>
        <w:rPr>
          <w:b/>
        </w:rPr>
        <w:t>E. 1</w:t>
      </w:r>
    </w:p>
    <w:p>
      <w:r>
        <w:t>Am 1. Januar 2008 traten das neuen Bundesgesetz vom 16. Dezember 2005 über die Ausländerinnen und Ausländer (AuG, SR 142.20) sowie die dazugehörigen Ausführungsverordnungen in Kraft. Auf Verfahren, die - wie vorliegend geschehen - vor dem Inkrafttreten des AuG eingeleitet wurden, bleibt das alte materielle Recht anwendbar (Art. 126 Abs. 1 AuG; vgl. dazu BVGE 2008/1 E. 2.3). Das Verfahren selbst richtet sich nach dem neuen Recht (Art. 126 Abs. 2 AuG), wobei altrechtlich begründete Zuständigkeiten bestehen bleiben (vgl. BGE 130 V 90 E. 3.2 S. 93).</w:t>
      </w:r>
    </w:p>
    <w:p>
      <w:r>
        <w:rPr>
          <w:b/>
        </w:rPr>
        <w:t>E. 2.1</w:t>
      </w:r>
    </w:p>
    <w:p>
      <w:r>
        <w:t>Verfügungen des BFM über die Ausdehnung einer kantonalen Wegweisung unterliegen der Beschwerde an das Bundesverwaltungsgericht (Art. 31 ff. des Verwaltungsgerichtsgesetzes vom 17. Juni 2005 (VGG, SR 173.32]).</w:t>
      </w:r>
    </w:p>
    <w:p>
      <w:r>
        <w:rPr>
          <w:b/>
        </w:rPr>
        <w:t>E. 2.2</w:t>
      </w:r>
    </w:p>
    <w:p>
      <w:r>
        <w:t>Gemäss Art. 37 VGG richtet sich das Verfahren vor dem Bundesverwaltungsgericht nach dem Verwaltungsverfahrensgesetz vom 20. Dezember 1968 (VwVG, SR 172.021), soweit das Verwaltungsgerichtsgesetz nichts anderes bestimmt (vgl. auch Art. 2 Abs. 4 VwVG). Vorbehalten bleiben abweichende Regelungen des AuG als eines verwaltungsrechtlichen Spezialerlasses.</w:t>
      </w:r>
    </w:p>
    <w:p>
      <w:r>
        <w:rPr>
          <w:b/>
        </w:rPr>
        <w:t>E. 2.3</w:t>
      </w:r>
    </w:p>
    <w:p>
      <w:r>
        <w:t>Gemäss Art. 48 Abs. 1 VwVG ist zur Verwaltungsbe­schwerde be­rechtigt, wer vor der Vorinstanz am Verfahren teilgenommen oder keine Möglichkeit zur Teilnahme erhalten hat (Bst.a), durch die ange­fochtene Verfügung besonders berührt ist (Bst. b) und ein schutzwürdiges Inter­esse an deren Aufhebung oder Änderung hat (Bst. c). Im Allgemeinen ist ein Interesse im Sinne von Art. 48 Abs. 1 Bst. c VwVG nur dann schutzwürdig, wenn der Beschwerdeführer nicht bloss beim Einreichen der Beschwerde, sondern auch noch im Zeitpunkt der Ur­teilsfällung ein aktuelles praktisches Interesse an der Aufhebung oder Än­derung der angefochtenen Verfügung hat. Im vorliegenden Fall fehlt das Erfor­dernis des aktuellen Rechtsschutzinteresses, denn die ange­fochtene Massnahme ist mit der Ausreise des Beschwerdeführers durch Kon­sumption dahingefallen (vgl. Urteil des Bundesgerichts 2A.538/2003 vom 25. November 2003). Eine allfällige Gutheis­sung der Beschwerde würde an dieser Situation nichts ändern. Insbesondere würde sie dem Be­schwerdeführer kein Recht auf Wiedereinreise vermitteln. Den­noch kann dem Be­schwerdeführer die Schutzwürdigkeit seines Interesses nicht abge­sprochen werden, weil er die Schweiz während des hängi­gen Verfahrens als Folge der Verweigerung vor­sorg­licher Massnahmen hat verlassen müs­sen (so mit teilweise anderer Begründung Urteil des Bundesgerichts 2P.143/2003 vom 19. De­zember 2003). Das Interesse des Beschwerdeführers ist jedoch nicht länger auf die Aufhebung der Verfügung ausgerichtet, sondern be­schränkt sich auf die Feststellung, ob die angefochtene Massnahme zum Zeitpunkt ihres Erlasses rechtens war.</w:t>
      </w:r>
    </w:p>
    <w:p>
      <w:r>
        <w:rPr>
          <w:b/>
        </w:rPr>
        <w:t>E. 2.4</w:t>
      </w:r>
    </w:p>
    <w:p>
      <w:r>
        <w:t>Der Beschwerdeführer ist damit im Sinne der obenstehenden Erwägungen zur Beschwerdeführung legitimiert, und sein Rechtsmittel wurde frist- und formgerecht eingereicht (Art. 48 ff. VwVG). Auf die Beschwerde ist deshalb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die aktuelle Sachlage, die in der vorliegenden Streitsache auf der Grundlage der bis zum 31. Dezem­ber 2007 geltenden Rechtsordnung zu beurteilen ist. Darauf wurde bereits weiter oben eingegangen (vgl. E. 1). Einschlägig sind das Bun­des­gesetz vom 26. März 1931 über Aufenthalt und Niederlassung der Ausländer (ANAG, BS 1 121) und die Vollziehungsverordnung vom 1. März 1949 zum Bundesgesetz über Aufenthalt und Niederlassung der Ausländer (ANAV, AS 1949 228).</w:t>
      </w:r>
    </w:p>
    <w:p>
      <w:r>
        <w:rPr>
          <w:b/>
        </w:rPr>
        <w:t>E. 4.1</w:t>
      </w:r>
    </w:p>
    <w:p>
      <w:r>
        <w:t>Gemäss Art. 12 Abs. 3 ANAG kann die eidgenössische Behörde die Pflicht zur Ausreise aus einem Kanton auf die ganze Schweiz ausdehnen. Art. 17 Abs. 2 ANAV präzisiert diese Norm, indem die Ausdehnung zur Regel erklärt wird, von der nur abzuweichen ist, wenn dem Ausländer aus besonderen Gründen Gelegenheit geboten werden soll, in einem anderen Kanton um eine Bewilligung nachzusuchen. Die Ausdehnung ist somit nur noch der konsequente Vollzug eines rechtskräftigen Entscheides und wird daher nur in Ausnahmefällen unterbleiben (vgl. anstelle vieler Urteil des Bundesverwaltungsgerichts C-604/2006 vom 15. August 2007 E. 2.1 mit weiteren Hinweisen).</w:t>
      </w:r>
    </w:p>
    <w:p>
      <w:r>
        <w:rPr>
          <w:b/>
        </w:rPr>
        <w:t>E. 4.2</w:t>
      </w:r>
    </w:p>
    <w:p>
      <w:r>
        <w:t>Mit dem (rechtsmittelweise bestätigten) Entscheid der Migrationsbehörde des Kantons Luzern, seine Aufenthaltsbewilligung nicht zu verlängern und ihn aus dem Kantonsgebiet wegzuweisen, hat der Beschwerdeführer das Recht verloren, sich in der Schweiz aufzuhalten. Gründe für einen ausnahmsweisen Verzicht darauf, die kantonale Wegweisung auszudehnen, waren nicht gegeben. Alles, was der Beschwerdeführer vorbrachte, betrifft nicht die Ausdehnungsverfügung als solche, sondern die davon zu unterscheidende Frage ihrer Vollziehbarkeit (vgl. zum Ganzen statt vieler Urteil des Bundesverwaltungsgerichts C-3378/2008 vom 11. November 2009 E. 3). Die Ausdehnungsverfügung ist daher zu bestätigen.</w:t>
      </w:r>
    </w:p>
    <w:p>
      <w:r>
        <w:rPr>
          <w:b/>
        </w:rPr>
        <w:t>E. 5</w:t>
      </w:r>
    </w:p>
    <w:p>
      <w:r>
        <w:t>Dehnt das Bundesamt eine kantonale Wegweisung auf das ganze Gebiet der Schweiz und das Fürstentum Liechtenstein aus, hat es zu prüfen, ob dem Vollzug der sich aus beiden Anordnungen ergebenden Wegweisung aus der Schweiz Hindernisse im Sinne von Art. 14a Abs. 2 - 4 ANAG entgegenstehen. Gegebenenfalls hat es gestützt auf Art. 14a Abs. 1 ANAG die vorläufige Aufnahme der ausländischen Person zu verfügen. Die vorläufige Aufnahme ist dabei als Ersatzmassnahme für den Vollzug der Wegweisung ausgestaltet. Sie tritt neben die Weg­weisung, deren Bestand sie nicht tangiert, sondern vielmehr voraus­setzt (vgl. dazu Urteil des Bundesverwaltungsgerichts C-635/2006 vom 23. November 2009 E. 5.1 mit Hinweisen).</w:t>
      </w:r>
    </w:p>
    <w:p>
      <w:r>
        <w:rPr>
          <w:b/>
        </w:rPr>
        <w:t>E. 6.1</w:t>
      </w:r>
    </w:p>
    <w:p>
      <w:r>
        <w:t>Gemäss Art. 14a Abs. 2 ANAG ist der Vollzug nicht möglich, wenn die ausländische Person weder in den Herkunfts- oder in den Heimatstaat noch in einen Drittstaat verbracht werden kann. Er ist nach Art. 14a Abs. 3 ANAG nicht zulässig, wenn völker­rechtliche Verpflichtungen der Schweiz einer Weiterreise in den Hei­mat-, Herkunfts- oder einen Drittstaat entgegenstehen. Schliesslich kann der Vollzug gemäss Art. 14a Abs. 4 ANAG nicht zumutbar sein, wenn er für die ausländische Person eine konkrete Gefährdung darstellen würde. Auf das letztgenannte Vollzugshindernis kann sich indessen nicht berufen, wer die öffentliche Sicherheit und Ordnung verletzt hat oder in schwerwiegender Weise gefährdet (Art. 14a Abs. 6 ANAG).</w:t>
      </w:r>
    </w:p>
    <w:p>
      <w:r>
        <w:rPr>
          <w:b/>
        </w:rPr>
        <w:t>E. 6.2</w:t>
      </w:r>
    </w:p>
    <w:p>
      <w:r>
        <w:t>Der Vollzug hat sich im konkreten Fall als möglich erwiesen. Der Beschwerdeführer bestritt in seiner Rechtsmitteleingabe vom 15. Dezember 2008 auch nicht, dass ein Vollzug in seinem Fall als zulässig zu erachten ist. Demgegenüber hielt er den Vollzug als nicht zumutbar und bestritt, Ausschlussgründe für eine Berufung auf dieses Hindernis geschaffen zu haben.</w:t>
      </w:r>
    </w:p>
    <w:p>
      <w:r>
        <w:rPr>
          <w:b/>
        </w:rPr>
        <w:t>E. 7.1</w:t>
      </w:r>
    </w:p>
    <w:p>
      <w:r>
        <w:t>Der Be­schwerdeführer war unbestrittenermassen seit 1992 in regelmässigen Abständen strafrechtlich in Erscheinung getreten. Während einer rund 15-jähri­gen Deliktsperiode erwirkte er nicht weniger als 18 Strafurteile, aus denen Freiheitsstrafen von insgesamt mehr als 400 Tagen Gefängnis oder Haft resultierten. Er liess sich weder von Vorstrafen noch von Anmahnungen der Migrationsbehörde beeindrucken (Schreiben vom 8. Dezember 1999 bzw. 13. Juni 2003). Die Straffälligkeit beinhaltete - entgegen der Darstellung des Beschwerdeführers - nicht nur Strassenverkehrsdelikte, sondern auch Delikte gegen Leib und Leben (Körperverletzung), Urkundenfälschung, Delikte gegen das Vermögen (Veruntreuung) und gegen die Rechtspflege (falsche Anschuldigung). Mit seinem strafrechtsrelevanten Verhalten hat der Beschwer­deführer die öffent­liche Sicherheit und Ordnung wiederholt und teil­weise auch schwer verletzt bzw. gefährdet.</w:t>
      </w:r>
    </w:p>
    <w:p>
      <w:r>
        <w:rPr>
          <w:b/>
        </w:rPr>
        <w:t>E. 7.2</w:t>
      </w:r>
    </w:p>
    <w:p>
      <w:r>
        <w:t>Dass die Straffälligkeit des Beschwerdeführers massgeblich mit einer Alkoholkrankheit in Verbindung gestanden haben soll, tut bei der Einschätzung des Risikos für die öffentliche Sicherheit und Ordnung nichts zur Sache. Im Übrigen gestand der Beschwerdeführer selbst ein, dieses Problem nicht ganz in den Griff bekommen zu haben. Seine letzte aktenkundige Verurteilung (wegen Ruhestörung und unanständigen Benehmens) datierte im Übrigen vom 17. Februar 2009.</w:t>
      </w:r>
    </w:p>
    <w:p>
      <w:r>
        <w:rPr>
          <w:b/>
        </w:rPr>
        <w:t>E. 7.3</w:t>
      </w:r>
    </w:p>
    <w:p>
      <w:r>
        <w:t>Nach dem bisher Gesagten ist nicht zu beanstanden, wenn die Vorinstanz dem Beschwerdeführer gestützt auf Art. 14a Abs. 6 ANAG das Recht absprach, sich auf eine Unzumutbarkeit des Wegweisungsvollzuges berufen zu können. Entsprechend ist auch nicht weiter zu prüfen, ob tatsächlich von der Existenz eines solchen Vollzugshindernisses auszugehen war.</w:t>
      </w:r>
    </w:p>
    <w:p>
      <w:r>
        <w:rPr>
          <w:b/>
        </w:rPr>
        <w:t>E. 8</w:t>
      </w:r>
    </w:p>
    <w:p>
      <w:r>
        <w:t>Damit erweist sich die angefochtene Verfügung als rechtmässig (Art. 49 VwVG). Die Beschwerde ist abzuweisen.</w:t>
      </w:r>
    </w:p>
    <w:p>
      <w:r>
        <w:rPr>
          <w:b/>
        </w:rPr>
        <w:t>E. 9</w:t>
      </w:r>
    </w:p>
    <w:p>
      <w:r>
        <w:t>Bei diesem Ausgang des Verfahrens wird der unterliegende Beschwer­deführer kostenpflichtig (Art. 63 Abs. 1 VwVG). Die Verfahrenskosten sind in Anwendung der Bemessungskriterien (Art. 1, Art. 2 und Art. 3 Bst. b des Reg­lements vom 21. Februar 2008 über die Kosten und Entschädigungen vor dem Bundesverwaltungsgericht [SR 173.320.2]) auf Fr. 800.- festzusetzen.</w:t>
      </w:r>
    </w:p>
    <w:p>
      <w:r>
        <w:rPr>
          <w:b/>
        </w:rPr>
        <w:t>E. 10</w:t>
      </w:r>
    </w:p>
    <w:p>
      <w:r>
        <w:t>Das vorliegende Urteil ist endgültig (Art. 83 Bst. c Ziff. 4 des Bundesgerichtsgesetzes vom 17. Juni 2005 [BGG, SR 173.110]).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