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C-8033/2010 vom 5. März 2012</w:t>
      </w:r>
    </w:p>
    <w:p>
      <w:r>
        <w:t>Bundesverwaltungsgericht, 2012-03-05, IT</w:t>
      </w:r>
    </w:p>
    <w:p>
      <w:r>
        <w:rPr>
          <w:b/>
        </w:rPr>
        <w:t xml:space="preserve">Quelle: </w:t>
      </w:r>
      <w:r>
        <w:t>https://mcp.opencaselaw.ch/entscheid/bvger_C-8033_2010</w:t>
      </w:r>
    </w:p>
    <w:p>
      <w:r>
        <w:t>FR: TAF C-8033/2010 du 5 mars 2012</w:t>
      </w:r>
    </w:p>
    <w:p>
      <w:r>
        <w:t>IT: TAF C-8033/2010 del 5 marzo 2012</w:t>
      </w:r>
    </w:p>
    <w:p>
      <w:pPr>
        <w:pStyle w:val="Heading2"/>
      </w:pPr>
      <w:r>
        <w:t>Regeste</w:t>
      </w:r>
    </w:p>
    <w:p>
      <w:r>
        <w:t>Revisione della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In concreto, la decisione impugnata è stata emessa dall'UAIE conformemente all'art. 40 cpv. 2 dell'ordinanza sull'assicurazione per l'invalidità del 17 gennaio 1961 (OAI, RS 831.201), relativo alla notificazione delle decisioni ai frontalieri.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e 1.2.1). Deve essere ancora precisato che non sono invece applicabili le norme della 6a revisione della LAI (primo pacchetto di misure), in vigore dal 1° gennaio 2012 (RU 2011 5659; FF 2010 1603).</w:t>
      </w:r>
    </w:p>
    <w:p>
      <w:r>
        <w:rPr>
          <w:b/>
        </w:rPr>
        <w:t>E. 4.1</w:t>
      </w:r>
    </w:p>
    <w:p>
      <w:r>
        <w:t>Ai sensi dell'art.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Secondo l'art. 28 cpv. 2 LAI, l'assicurato ha diritto ad una rendita intera se è invalido per almeno il 70%, a tre quarti di rendita se è invalido per almeno il 60%, ad una mezza rendita se è invalido per almeno la metà e ad un quarto di rendita se è invalido per almeno il 40%.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dell'Unione europea e vi risiede. Conformemente all'art. 28 cpv. 1 LAI,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w:t>
      </w:r>
    </w:p>
    <w:p>
      <w:r>
        <w:t>Il ricorrente contesta la validità materiale della decisione di revisione dell'UAIE, chiedendo che gli sia riconosciuto il diritto ad una rendita intera d'invalidità anche dopo il 30 novembre 2010.</w:t>
      </w:r>
    </w:p>
    <w:p>
      <w:r>
        <w:rPr>
          <w:b/>
        </w:rPr>
        <w:t>E. 6.1</w:t>
      </w:r>
    </w:p>
    <w:p>
      <w:r>
        <w:t>Secondo l'art. 17 cpv. 1 LPGA, se il grado d'invalidità del beneficiario della rendita subisce una notevole modificazione, per il futuro la rendita è aumentata o ridotta proporzionalmente o soppressa, d'ufficio o su richiesta.</w:t>
      </w:r>
    </w:p>
    <w:p>
      <w:r>
        <w:rPr>
          <w:b/>
        </w:rPr>
        <w:t>E. 6.2</w:t>
      </w:r>
    </w:p>
    <w:p>
      <w:r>
        <w:t>Conformemente all'art. 87 cpv. 2 OAI, la revisione avviene d'ufficio quando, in previsione di una possibile modifica importante del grado d'invalidità, è stato stabilito un termine nel momento dell'erogazione della rendita o allorché si conoscono fatti o si ordinano provvedimenti che possono provocare una notevole modifica del grado d'invalidità.</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 L'aumento della rendita avviene al più presto, se l'assicurato ha chiesto la revisione, a partire dal mese in cui la domanda è stata inoltrata, mentre se la revisione ha luogo d'ufficio, a partire dal mese in cui è stata prevista (art. 88bis cpv. 1 lett. a e b). La riduzione o la soppressione della rendita è messa in atto, il più presto, il primo giorno del secondo mese che segue la notifica della decisione (art. 88bis cpv. 2 lett. a).</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cpv. 1 LPGA (DTF 112 V 372 consid. 2b e 390 consid. 1b, RCC 1987 p. 36, SVR 2004 IV n. 5 consid. 3.3.3). L'istituto della revisione non deve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pag. 15).</w:t>
      </w:r>
    </w:p>
    <w:p>
      <w:r>
        <w:rPr>
          <w:b/>
        </w:rPr>
        <w:t>E. 7</w:t>
      </w:r>
    </w:p>
    <w:p>
      <w:r>
        <w:t>Al fine di giudicare se sussistono indizi sufficienti per ritenere verosimile una modifica rilevante del grado d'invalidità, si deve considerare il periodo tra la decisione iniziale e quella che pronuncia la revisione. Decisioni intercalari sono pertinenti unicamente se sono state emesse sulla base di una nuova valutazione materiale del grado d'invalidità, ossia dopo delucidazione dei fatti, apprezzamento delle prove e esecuzione del raffronto dei redditi (DTF 133 V 108). In concreto, la decisione iniziale è stata pronunciata il 16 ottobre 2008, mentre la decisione di revisione qui impugnata è stata emanata il 15 ottobre 2010, per cui, seguendo la giurisprudenza, il periodo di riferimento per giudicare se verosimilmente è intervenuta una modifica rilevante del grado d'invalidità, tale da giustificare la riduzione della rendita, come disposto dall'UAIE, è quello tra il 16 ottobre 2008 ed il 15 ottobre 2010.</w:t>
      </w:r>
    </w:p>
    <w:p>
      <w:r>
        <w:rPr>
          <w:b/>
        </w:rPr>
        <w:t>E. 8.1</w:t>
      </w:r>
    </w:p>
    <w:p>
      <w:r>
        <w:t>Come già anticipato al consid. 3, il giudice delle assicurazioni sociali analizza la legalità della decisione impugnata, in generale, secondo lo stato di fatto esistente al momento in cui essa è stata resa (DTF 130 V 445 consid. 1.2 e 1.2.1). Egli deve esaminare in maniera obiettiva tutti i mezzi di prova, indipendentemente dalla loro provenienza, e poi decidere se i documenti messi a disposizione permettono di giungere ad un giudizio attendibile sulle pretese giuridiche litigiose (DTF 125 V 352 consid. 3a).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8.2</w:t>
      </w:r>
    </w:p>
    <w:p>
      <w:r>
        <w:t>È importante rilevare che una perizia richiesta dall'amministrazione non può essere scartata adducendo che si tratta di un referto di parte (DTF 136 V 376 consid. 4; v.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rispetti tutti i principi concernenti la valutazione medica dell'invalidità, così come esposti al consid. 8.1. A questo proposito, elemento decisivo dal profilo probatorio non è in linea di principio l'origine del mezzo di prova né la designazione del materiale probatorio quale rapporto o perizia, bensì il suo contenuto (DTF 125 V 352 consid. 3a; 122 V 160 consid. 1c).</w:t>
      </w:r>
    </w:p>
    <w:p>
      <w:r>
        <w:rPr>
          <w:b/>
        </w:rPr>
        <w:t>E. 8.3</w:t>
      </w:r>
    </w:p>
    <w:p>
      <w:r>
        <w:t>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 Ancora più recentemente, il Tribunale federale ha però specificato che l'esigenza di eseguire una perizia giudiziaria indipendente, con le relative garanzie procedurali costituzionali, benché riguardi di principio anche i casi già pendenti al momento della pubblicazione della menzionata decisione, sarebbe sproporzionata se dovesse implicare che le perizie messe in opera secondo la vecchia prassi, ma munite di forza probatoria convincente, non fossero considerate (sentenza del Tribunale federale 8C_360/2011, del 13 febbraio 2010).</w:t>
      </w:r>
    </w:p>
    <w:p>
      <w:r>
        <w:rPr>
          <w:b/>
        </w:rPr>
        <w:t>E. 9</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In carenza di documentazione economica affidabile, come nella fattispecie, visto che il ricorrente non ha più esercitato alcuna attività lucrativa da fine 2006,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10</w:t>
      </w:r>
    </w:p>
    <w:p>
      <w:r>
        <w:t>Dalla documentazione medica all'incarto e, in particolare, dalla perizia pluridisciplinare della dott.ssa C._______e del dott. D._______, medici del SAM, del 21 dicembre 2009 (doc. 41/1 a 16), e dal rapporto del dott. B._______, medico dell'UAI-TI, del 23 dicembre 2009 (doc. 42), si evince la diagnosi, con influenza sulla capacità lavorativa, d'insufficienza renale cronica di terzo stadio, di tremore fine invalidante d'origine medicamentosa, di sindrome astenica ed intolleranza allo sforzo di probabile origine multifattoriale, di cancerofobia nell'ambito di una terapia immunodepressiva cronica, di disestesie e parestesie intermittenti alla mano sinistra non meglio caratterizzabili e di una sindrome vertiginosa periferica con episodi di breve durata ad insorgenza improvvisa su rotazione del capo, come pure la diagnosi, senza influenza sulla capacità lavorativa, d'ipertensione arteriosa renoparenchimatosa ben controllata grazie alla terapia medicamentosa, di sindrome ansioso-depressiva e di sovrappeso. Questa diagnosi è univoca agli atti e non contestata dal ricorrente, dimodoché il collegio giudicante non può che aderirvi.</w:t>
      </w:r>
    </w:p>
    <w:p>
      <w:r>
        <w:rPr>
          <w:b/>
        </w:rPr>
        <w:t>E. 11.1</w:t>
      </w:r>
    </w:p>
    <w:p>
      <w:r>
        <w:t>Per quanto attiene alle ripercussioni delle affezioni diagnosticate, la dott.ssa C._______e il dott. D._______hanno stabilito una capacità lavorativa medico-teorica globale, dal profilo fisico e psichico, intesa come riduzione del rendimento sull'arco di un'intera giornata, del 40% nell'attività di manovale edile e del 50% in attività confacenti leggere, prevedenti la possibilità di effettuare pause regolari, senza lavori fini, di precisione o con rischio di caduta, e ciò da inizio 2009, specificando che l'incapacità lavorativa psichiatrica del 20% per qualsiasi attività, così come formulata dal dott. F._______, non deve essere sommata alle due altre incapacità "in quanto tutte le patologie che causano una limitazione della capacità lavorativa comportano sempre una riduzione del rendimento" (perizia, pag. 15). I periti del SAM hanno in particolare sottolineato che l'evoluzione post-trapianto del rene destro risulta favorevole, senza episodi di rigetto e manifestazioni infettive acute opportunistiche, anche se la funzione dello stesso, caratterizzata da un'insufficienza residua di terzo stadio imputabile ad un processo arteriosclerotico avanzato già presente nel donatore, non è ottimale, la triterapia immunosoppressiva stabilizzandola comunque a livelli accettabili senza importanti complicazioni metaboliche o ematologiche. Gli specialisti hanno inoltre precisato che la detta triterapia ingenera una sindrome astenica con intolleranza allo sforzo ed un tremore fine persistente, verosimilmente dovuto all'inibitore della calcineurina, i quali risultano essere limitanti per il fatto che implicano la necessità di riposarsi spesso e l'impossibilità di eseguire lavori fini, ad esempio stringere una vite con un cacciavite, come limitanti sono pure la sindrome vertiginosa parossistica per i rischi di caduta e la cancerofobia legata alla triterapia immunosoppressiva, con paura di esporsi al sole per il rischio di contrarre un tumore alla pelle (v. perizia, pagg. 14 e 15).</w:t>
      </w:r>
    </w:p>
    <w:p>
      <w:r>
        <w:rPr>
          <w:b/>
        </w:rPr>
        <w:t>E. 11.2</w:t>
      </w:r>
    </w:p>
    <w:p>
      <w:r>
        <w:t>Dal canto suo, il dott. B._______ ha confermato questa valutazione a due riprese, in un primo tempo con rapporto del 23 dicembre 2009, ribadendo l'inizio della capacità lavorativa del 50% a decorrere da gennaio 2009, e in un secondo tempo mediante breve annotazione del 20 settembre 2010 (doc. 59), dopo avere preso conoscenza del rapporto stilato dal medico curante del ricorrente il 31 agosto 2010. Nell'ambito della presente procedura, in un'annotazione del 10 febbraio 2011, il dott. H._______, medico dell'UAI-TI, ha riaffermato l'apprezzamento del caso formulato dai periti del SAM e ripreso dal dott. B._______, rilevando che il referto nefrologico del 6 settembre 2010, prodotto dal ricorrente, non apporta nulla di nuovo rispetto al suo stato di salute.</w:t>
      </w:r>
    </w:p>
    <w:p>
      <w:r>
        <w:rPr>
          <w:b/>
        </w:rPr>
        <w:t>E. 11.3</w:t>
      </w:r>
    </w:p>
    <w:p>
      <w:r>
        <w:t>Visto quanto precede, il collegio giudicante non può che adottare le conclusioni dei periti del SAM e dei medici dell'UAI-TI, non confutate dalla documentazione medica esibita dal ricorrente, e constatare che quest'ultimo dispone di una capacità lavorativa medico-teorica globale, dal punto di vista fisico e psichico, intesa come riduzione del rendimento sull'arco di un'intera giornata, a partire da gennaio 2009, del 40% nell'attività di manovale edile e del 50% in attività confacenti leggere, prevedenti la possibilità di effettuare pause regolari, senza lavori fini, di precisione o con rischio di caduta.</w:t>
      </w:r>
    </w:p>
    <w:p>
      <w:r>
        <w:rPr>
          <w:b/>
        </w:rPr>
        <w:t>E. 12.1</w:t>
      </w:r>
    </w:p>
    <w:p>
      <w:r>
        <w:t>Come già esposto nel consid. 9,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Occorre ancora specificare che il salario da invalido, quale introito teorico, può essere ridotto per tenere conto di fattori personali dell'assicurato (DTF 126 V 75), come l'età o un handicap. Nell'ambito dell'applicazione di tale riduzione, l'amministrazione gode di un'ampia autonomia di giudizio che il giudice può rivedere solamente in casi particolari. Il giudice delle assicurazioni sociali non può, senza motivo pertinente, sostituire il proprio apprezzamento a quello dell'amministrazione. Se lo fa, deve motivare in modo appropriato che una diversa valutazione s'impone. Inoltre, la deduzione non va effettuata automaticamente, ma solo se nel singolo caso sussistono elementi che lascino presagire che la persona assicurata, a causa di una o più di queste circostanze, ben difficilmente riuscirà a sfruttare la sua capacità residua di lavoro (DTF 137 V 71 consid. 5.2).</w:t>
      </w:r>
    </w:p>
    <w:p>
      <w:r>
        <w:rPr>
          <w:b/>
        </w:rPr>
        <w:t>E. 12.2</w:t>
      </w:r>
    </w:p>
    <w:p>
      <w:r>
        <w:t>In concreto, il 4 gennaio e il 12 maggio 2010 (doc. 43 e 46), l'UAI-TI ha calcolato un salario da valido di Fr. 63'032.- per il 2008, fondandosi sul valore orario di Fr. 25.55 fornito dall'ex datore di lavoro, debitamente indicizzato, ossia Fr. 64'293.-, ed un salario da invalido di Fr. 61'244.25, sulla base delle tabelle RSS dell'UFS, ridotto del 7% in funzione delle circostanze personali del ricorrente e considerato nella misura del 50% (riduzione del rendimento), ossia Fr. 28'478.58. In questo modo l'UAI-TI ha ricavato una perdita di guadagno del 55.71%, corrispondente ad un grado d'invalidità del 56%, il quale dà diritto ad una mezza rendita d'invalidità svizzera. Ciò detto, fermo restando che nulla cambia rispetto all'esito della causa, l'UAI-TI avrebbe dovuto indicizzare i salari da valido e da invalido non al 2008, ma al 2010, nella misura in cui la rendita d'invalidità è stata ridotta a partire dal 1° dicembre 2010. Fatta questa puntualizzazione, il calcolo eseguito dall'UAI-TI, che del resto non è stato contestato dal ricorrente, deve essere approvato in questa sede.</w:t>
      </w:r>
    </w:p>
    <w:p>
      <w:r>
        <w:rPr>
          <w:b/>
        </w:rPr>
        <w:t>E. 13.1</w:t>
      </w:r>
    </w:p>
    <w:p>
      <w:r>
        <w:t>È necessario a questo punto ricordare che, secondo la giurisprudenza costante del Tribunale federale ed un principio generale del diritto delle assicurazioni sociali, ogni ricorrente ha l'obbligo di ridurre il danno conseguente alla sua invalidità (DTF 130 V 97 consid. 3.2 e relativi riferimenti).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(sentenza del Tribunale federale I 543/03 del 27 agosto 2004; DTF 113 V 22 consid. 4a). Questa giurisprudenza conferma il principio che l'integrazione ha priorità sulla rendita, la cui assegnazione entra in linea di conto solo qualora non siano attuabili provvedimenti di integrazione. Un miglioramento della capacità di lavoro medicalmente attestato permette quindi di principio di ritenere che, nonostante la rendita sia stata concessa per un lungo periodo, la capacità di guadagno sia migliorata e di procedere ad un nuovo paragone dei redditi (in particolare, sentenza del Tribunale federale 9C_163/2009 del 10 settembre 2010). L'esame delle condizioni per un eventuale diritto a misure d'integrazione si effettua secondo gli stessi principi sia nell'ambito di una revisione della rendita sia nell'ambito di una domanda di rendita d'invalidità. Il Tribunale federale ha tuttavia ristretto l'applicazione di questa prassi ai casi in cui un assicurato ha beneficiato di una rendita per più di quindici anni o ha superato i cinquantacinque anni: l'amministrazione che intende procedere ad una revisione del diritto alla rendita deve esaminare preliminarmente l'opportunità di provvedimenti d'integrazione professionale (sentenza 9C_228/2010 del 26 aprile 2011).</w:t>
      </w:r>
    </w:p>
    <w:p>
      <w:r>
        <w:rPr>
          <w:b/>
        </w:rPr>
        <w:t>E. 13.2</w:t>
      </w:r>
    </w:p>
    <w:p>
      <w:r>
        <w:t>In concreto, benché non abbia percepito la rendita intera d'invalidità per più di quindici anni e non abbia ancora raggiunto l'età di cinquantacinque anni, è comunque pertinente rilevare che il ricorrente, malgrado abbia svolto quasi esclusivamente l'attività di manovale edile durante la sua carriera, non appare abbia bisogno di particolari misure d'integrazione professionale, visto il genere di occupazioni sostitutive esigibili, caratterizzate da mansioni semplici e ripetitive, presenti in misura relativamente ampia in vari settori del mercato del lavoro.</w:t>
      </w:r>
    </w:p>
    <w:p>
      <w:r>
        <w:rPr>
          <w:b/>
        </w:rPr>
        <w:t>E. 14</w:t>
      </w:r>
    </w:p>
    <w:p>
      <w:r>
        <w:t>Di conseguenza, in applicazione delle norme legali e della giurisprudenza sopraccitate, la decisione di revisione del 15 ottobre 2010, qui impugnata, deve essere confermata e il ricorso respinto.</w:t>
      </w:r>
    </w:p>
    <w:p>
      <w:r>
        <w:rPr>
          <w:b/>
        </w:rPr>
        <w:t>E. 15</w:t>
      </w:r>
    </w:p>
    <w:p>
      <w:r>
        <w:t>Secondo l'art. 63 cpv. 1 PA, le spese processuali sono di regola messe a carico della parte soccombente. In concreto, visto l'esito della procedura, le spese processuali di Fr. 400.- sono poste a carico del ricorrente e compensate con l'anticipo dello stesso ammontare, versato il 27 aprile 2011.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