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C-8032/2015 vom 4. Januar 2016</w:t>
      </w:r>
    </w:p>
    <w:p>
      <w:r>
        <w:t>Bundesverwaltungsgericht, 2016-01-04, FR</w:t>
      </w:r>
    </w:p>
    <w:p>
      <w:r>
        <w:rPr>
          <w:b/>
        </w:rPr>
        <w:t xml:space="preserve">Quelle: </w:t>
      </w:r>
      <w:r>
        <w:t>https://mcp.opencaselaw.ch/entscheid/bvger_C-8032_2015</w:t>
      </w:r>
    </w:p>
    <w:p>
      <w:r>
        <w:t>FR: TAF C-8032/2015 du 4 janvier 2016</w:t>
      </w:r>
    </w:p>
    <w:p>
      <w:r>
        <w:t>IT: TAF C-8032/2015 del 4 gennaio 2016</w:t>
      </w:r>
    </w:p>
    <w:p>
      <w:pPr>
        <w:pStyle w:val="Heading2"/>
      </w:pPr>
      <w:r>
        <w:t>Regeste</w:t>
      </w:r>
    </w:p>
    <w:p>
      <w:r>
        <w:t>Droit à la rente</w:t>
      </w:r>
    </w:p>
    <w:p>
      <w:pPr>
        <w:pStyle w:val="Heading2"/>
      </w:pPr>
      <w:r>
        <w:t>Erwägungen</w:t>
      </w:r>
    </w:p>
    <w:p>
      <w:r>
        <w:rPr>
          <w:b/>
        </w:rPr>
        <w:t>E. 1</w:t>
      </w:r>
    </w:p>
    <w:p>
      <w:r>
        <w:t>La demande de révision de l'arrêt du 21 août 2015 (cause C-1919/2015) est irrecevable.</w:t>
      </w:r>
    </w:p>
    <w:p>
      <w:r>
        <w:rPr>
          <w:b/>
        </w:rPr>
        <w:t>E. 2</w:t>
      </w:r>
    </w:p>
    <w:p>
      <w:r>
        <w:t>Il n'est pas perçu de frais de procédure, ni alloué de dépens.</w:t>
      </w:r>
    </w:p>
    <w:p>
      <w:r>
        <w:rPr>
          <w:b/>
        </w:rPr>
        <w:t>E. 3</w:t>
      </w:r>
    </w:p>
    <w:p>
      <w:r>
        <w:t>Le présent arrêt est adressé : - au requérant (Recommandé avec accusé de réception) - à l'autorité inférieure (n° de réf. ... ; Recommandé) - à l'Office fédéral des assurances sociales (Recommandé) La juge unique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