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C-8027/2008 vom 2. September 2009</w:t>
      </w:r>
    </w:p>
    <w:p>
      <w:r>
        <w:t>Bundesverwaltungsgericht, 2009-09-02, DE</w:t>
      </w:r>
    </w:p>
    <w:p>
      <w:r>
        <w:rPr>
          <w:b/>
        </w:rPr>
        <w:t xml:space="preserve">Quelle: </w:t>
      </w:r>
      <w:r>
        <w:t>https://mcp.opencaselaw.ch/entscheid/bvger_C-8027_2008</w:t>
      </w:r>
    </w:p>
    <w:p>
      <w:r>
        <w:t>FR: TAF C-8027/2008 du 2 septembre 2009</w:t>
      </w:r>
    </w:p>
    <w:p>
      <w:r>
        <w:t>IT: TAF C-8027/2008 del 2 settembre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nun auf Gesuch hin oder von Amtes wegen (vgl. Art. 126 Abs. 1 AuG e contrario; ferner BVGE 2008/1 E. 2 mit Hinweisen). Wenn bei der Anwendung des neuen Rechts auf Verhältnisse abgestellt wird, die wie vorliegend noch unter der Herrschaft des alten Rechts entstanden sind und beim Inkrafttreten des neuen Rechts andauern, liegt eine unechte Rückwirkung vor, die - vorbehältlich des Vertrauensschutzprinzips - grundsätzlich zulässig ist (vgl. ULRICH HÄFELIN/GEORG MÜLLER/FELIX UHLMANN, Allgemeines Verwaltungsrecht, 5. Aufl., Zürich/Basel/Genf/St.Gallen 2006, Rz. 337 ff.).</w:t>
      </w:r>
    </w:p>
    <w:p>
      <w:r>
        <w:rPr>
          <w:b/>
        </w:rPr>
        <w:t>E. 4</w:t>
      </w:r>
    </w:p>
    <w:p>
      <w:r>
        <w:t>Vor einer allfälligen materiellrechtlichen Beurteilung ist in formeller Hinsicht zu prüfen, ob die Vorinstanz nicht das rechtliche Gehör verletzt hat, da die Gewährung einer Äusserungsmöglichkeit und der Erlass der angefochtenen Verfügung im Falle des Beschwerdeführers zeitlich praktisch zusammenfielen.</w:t>
      </w:r>
    </w:p>
    <w:p>
      <w:r>
        <w:rPr>
          <w:b/>
        </w:rPr>
        <w:t>E. 4.1</w:t>
      </w:r>
    </w:p>
    <w:p>
      <w:r>
        <w:t>Der Anspruch auf rechtliches Gehör, wie ihn Lehre und Rechtsprechung aus Artikel 29 Abs. 2 BV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5. Aufl., Zürich/Basel/Genf/St. Gallen 2006, S.360 ff.; ALFRED KÖLZ/ISABELLE HÄNER, Verwaltungsverfahren und Verwaltungsrechtspflege des Bundes, 2. Aufl., Zürich 1998, S. 46, 107 ff.; MARKUS SCHEFER, Grundrechte in der Schweiz, Bern 2005, S. 285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2007/21 E. 10.2).</w:t>
      </w:r>
    </w:p>
    <w:p>
      <w:r>
        <w:rPr>
          <w:b/>
        </w:rPr>
        <w:t>E. 4.2</w:t>
      </w:r>
    </w:p>
    <w:p>
      <w:r>
        <w:t>Einen weiteren wichtigen Teilgehalt des Anhörungsrechts bildet die Pflicht der Behörden, die Äusserungen der Betroffenen tatsächlich zur Kenntnis zu nehmen und sich damit in der Entscheidfindung und -begründung sachgerecht auseinanderzusetzen. Diese Prüfungs- oder Berücksichtigungspflicht liegt bereits Art. 30 VwVG zu Grunde, kommt aber besonders deutlich in Art. 32 Abs. 1 VwVG zum Ausdruck, der bestimmt, dass die Behörde alle erheblichen und rechtzeitigen Vorbringen der Parteien würdigt, bevor sie verfügt (BERNHARD WALDMANN/JÜRG BICKEL, in Waldmann/Weissenberger [Hrsg.], Praxiskommentar VwVG, Zürich 2009, Art. 29 N 80 ff. u. Art. 32 N 7 ff.; KÖLZ/HÄNER, a.a.O. S. 119). Daraus folgt schliesslich die grundsätzliche Pflicht der Behörden, ihren Entscheid entsprechend zu begründen (siehe BVGE 2007/21 E. 10.2 mit Hinweisen).</w:t>
      </w:r>
    </w:p>
    <w:p>
      <w:r>
        <w:rPr>
          <w:b/>
        </w:rPr>
        <w:t>E. 4.3</w:t>
      </w:r>
    </w:p>
    <w:p>
      <w:r>
        <w:t>Auf den Gehörsanspruch als solchen kann nicht verzichtet werden. Ob das rechtliche Gehör gewährt wurde, ist im Beschwerdeverfahren von Amtes wegen zu überprüfen (vgl. KÖLZ/HÄNER. a.a.O., S. 46).</w:t>
      </w:r>
    </w:p>
    <w:p>
      <w:r>
        <w:rPr>
          <w:b/>
        </w:rPr>
        <w:t>E. 5.1</w:t>
      </w:r>
    </w:p>
    <w:p>
      <w:r>
        <w:t>Den Akten lässt sich entnehmen, dass der Beschwerdeführer von der Kantonspolizei Zürich (Flughafenpolizei) erst am 12. November 2008 - gewissermassen in letzter Minute - Gelegenheit erhielt, sich zu den bevorstehenden Massnahmen (Wegweisung und Einreiseverbot) zu äussern. Um 14.48 Uhr wurde die aufgrund seiner Angaben erstellte und von ihm mitunterzeichnete Stellungnahme per Telefax an das BFM weitergeleitet, welches das angefochtene Einreiseverbot noch am selben Tag verfügte und dem Adressaten tags darauf, am 13. November 2008, aushändigen liess. Der Vorinstanz verblieb für Erlass und Ausfertigung besagter Fernhaltemassnahme mithin nur sehr wenig Zeit. Auf eine zeitliche Dringlichkeit für das überstürzte Vorgehen kann sie sich nicht berufen. Dass der Beschwerdeführer sich im vorzeitigen Strafantritt befand, war seit längerem bekannt. Mit Entscheid der Strafkammer des Bundesstrafgerichts vom 10. November 2008 wurde er wegen guter Führung sogar vorzeitig aus dem Strafvollzug entlassen. Vor diesem Hintergrund ist nicht einsehbar, was die kantonale Migrationsbehörde bzw. die Vorinstanz daran hinderte, das Verfahren für eine allfällige Fernhaltemassnahme so zu terminieren, dass der Betroffene mit Blick auf eine echte Entscheidfindung rechtzeitig dazu hätte angehört werden können. Es war jedenfalls keine Gefahr im Verzuge, welche es dem BFM erlaubt hätte, die geforderte vorgängige Anhörung nurmehr pro forma durchführen zu lassen oder ganz davon abzusehen (vgl. Art. 30 Abs. 2 Bst. e VwVG). Der Grundsatz des rechtlichen Gehörs bedeutet wie erwähnt, dass die Behörde die Vorbringen der Betroffenen sorgfältig und ernsthaft prüft und in der Entscheidfindung berücksichtigt (BVGE 2007/21 E. 10.2).</w:t>
      </w:r>
    </w:p>
    <w:p>
      <w:r>
        <w:rPr>
          <w:b/>
        </w:rPr>
        <w:t>E. 5.2</w:t>
      </w:r>
    </w:p>
    <w:p>
      <w:r>
        <w:t>Dass die Vorinstanz ihrer Abklärungspflicht nicht genügend nachgekommen ist, ergibt sich nicht nur aus der zeitlichen Abfolge von Gehörsgewährung und Verfügungserlass sowie der zum Zeitpunkt des Verfügungserlasses äusserst rudimentären Akten (die kantonalen Akten wurden nicht beigezogen), sondern auch aus der Begründung der angefochtenen Verfügung selbst (vgl. hierzu BERNHARD WALDMANN/JÜRG BICKEL, a.a.O., Art. 32 N 3 u. 4). Die Begründung des langjährigen Einreiseverbots gegen den Beschwerdeführer, einem Ausländer, der sich auf die Begünstigungen des Freizügigkeitsabkommens berufen kann, umfasst ohne Gesetzeszitate nachgerade mal sechzehn Wörter, von denen die Hälfte dem Wortlaut der angewendeten Bestimmung entnommen wurden. Der Beschwerdeführer seinerseits wies am 12. November 2008 gegenüber der Kantonspolizei Zürich darauf hin, dass er seit bald zwanzig Jahren in der Schweiz lebe. Er schilderte seinen schulischen und beruflichen Werdegang und erläuterte seine aktuellen Beziehungen zur Schweiz und zu Spanien, das er heute nicht mehr als sein Heimatland betrachte und dessen Sprache er eher schlecht spreche. Ferner machte er darauf aufmerksam, dass er eine in der Schweiz ansässige Ehefrau habe, die während der Untersuchungshaft und dem Strafvollzug zu ihm gestanden sei und mit welcher er inskünftig gerne in ehelicher Gemeinschaft hierzulande leben würde. Abschliessend bat er die Schweizerischen Behörden darum, ihm in dem Land, das zu seiner eigentlichen Heimat geworden sei, eine Chance zu geben. Schon bei der Durchsicht des BFM-Dossiers wird offenkundig, dass die Vorinstanz die im Rahmen des rechtlichen Gehörs vorgetragenen Vorbringen weder abgeklärt noch sonst in einer Weise gewürdigt hat. Die äusserst summarische Begründung der angefochtenen Verfügung (zu deren Wortlaut siehe Bst. D hiervor) spricht für sich. Wohl muss sich die Behörde nicht mit jeder tatbeständlichen Behauptung und jedem rechtlichen Einwand auseinandersetzen, sondern kann sich auf die für den Entscheid wesentlichen Gesichtspunkte beschränken (vgl. KÖLZ/HÄNER, a.a.O., S. 119). Je intensiver der Eingriff in die Stellung des Betroffenen und je grösser der Entscheidungsspielraum der Behörde ist (was beides vorliegend zutrifft), desto strenger sind aber die Anforderungen an das rechtliche Gehör (BERNHARD WALDMANN/JÜRG BICKEL, a.a.O., Art. 29 N 52 u. 53 sowie Art. 35 N 20 u. 21). Über den Beschwerdeführer wurde immerhin ein Einreiseverbot für zehn Jahre verhängt, was nicht nur für ihn sondern ebenso für seine hierzulande wohnhafte Ehegattin mit entsprechenden Konsequenzen verbunden ist. Auch wenn das Aufenthaltsrecht als solches nicht Verfahrensgegenstand bildet, sind Aspekte wie der lange Voraufenthalt in der Schweiz, die Bindungen zu diesem Land und die Situation der Gattin unter den dargelegten Begebenheiten (der Beschwerdeführer ist Bürger eines EU-Staates; unter dem Gesichtspunkt des Freizügigkeitsabkommens ist der Grundsatz der Verhältnismässigkeit besonders zu beachten) keineswegs ohne Belang. Kommt hinzu, dass die Ehefrau des Massnahmebelasteten den Akten zufolge Schweizerin ist und es sich um eine intakte Beziehung handelt. Abgesehen davon ist das dem Hauptvorwurf zu Grunde liegende Strafurteil noch gar nicht in Rechtskraft erwachsen (siehe E. 5.5 hiernach). Das Bundesamt wäre deshalb gehalten gewesen, im angefochtenen Entscheid auf die vom Beschwerdeführer geltend gemachten Argumente näher einzugehen, sie im Rahmen der vorzunehmenden Güterabwägung in erkennbarer Weise zu prüfen und in der Entscheidfindung angemessen zu berücksichtigen, was nicht geschah, weshalb eine Verletzung des rechtlichen Gehörs vorliegt (vgl. Art. 49 Bst. a VwVG).</w:t>
      </w:r>
    </w:p>
    <w:p>
      <w:r>
        <w:rPr>
          <w:b/>
        </w:rPr>
        <w:t>E. 5.3</w:t>
      </w:r>
    </w:p>
    <w:p>
      <w:r>
        <w:t>Der Anspruch auf rechtliches Gehör ist formeller Natur. Seine Verletzung führt grundsätzlich ungeachtet der Erfolgsaussichten der Beschwerde in der Sache selbst zur Aufhebung der angefochtenen Verfügung. Ob eine Gehörsgewährung im konkreten Fall für den Ausgang der Streitsache in materieller Hinsicht von Bedeutung ist, d.h. ob die Behörde dadurch zu einer Änderung veranlasst werden könnte, spielt also keine Rolle (vgl. PATRICK SUTTER in: Christoph Auer/Markus Müller/Benjamin Schindler [Hrsg.], Kommentar zum Bundesgesetz über das Verwaltungsverfahren [VwVG], Zürich/St. Gallen 2008, Rz. 16 zu Art. 29 VwVG; ANDRÉ MOSER/MICHAEL BEUSCH/LORENZ KNEUBÜHLER, Prozessieren vor dem Bundesverwaltungsgericht, Lausanne/Zürich/Bern 2008, S. 153 Rz. 3.110; BGE 127 V 431 E. 3d.aa; BVGE 2007/27 E. 10.1; BVGE 2007/30 E. 5.5.1, Urteil der Schweizerischen Asylrekurskommission vom 8. Juni 2004, veröffentlicht in VPB 69.28 E. 7e). Dieser Grundsatz wird allerdings dadurch relativiert, dass die Verletzung des Gehörsanspruchs gegebenenfalls durch die Rechtsmittelinstanz geheilt werden kann. Eine Verletzung des rechtliche Gehörs ist nach ständiger Praxis des Bundesgerichts ausnahmsweise einer Heilung zugänglich, wenn die betroffene Partei die Möglichkeit hat, sich vor einer Beschwerdeinstanz zu äussern, die zur freien Prüfung aller Sachverhalts- und Rechtsfragen befugt ist, welche der unteren Instanz hätte unterbreitet werden können. Von der Rückweisung der Sache zur Gewährung des rechtlichen Gehörs an die Verwaltung kann in solchen Fällen nach dem Grundsatz der Verfahrensökonomie dann abgesehen werden, wenn die Rückweisung zu einem "formalistischen Leerlauf" und damit zu einer unnötigen Verlängerung des Verfahrens führen würde. Den verfahrensökonomischen Überlegungen ist allerdings dann kein entscheidendes Gewicht beizumessen, wenn ein Verfahren keinen Einzelfall belegt, sondern für eine Vielzahl anderer Fälle mit vergleichbaren Konstellationen von Bedeutung ist. Es gilt zu verhindern, dass die Vorinstanz darauf vertraut, von ihr missachtete Verfahrensrechte würden systematisch nachträglich geheilt. Ansonsten verlören die gerade für das erstinstanzliche Verfahren vorgesehenen prozessualen Garantien ihren Sinn (vgl. PATRICK SUTTER, a.a.O., Rz. 18 zu Art. 29 VwVG sowie MOSER/BEUSCH/KNEUBÜHLER, a.a.O., S. 154 f. Rz. 3.113 mit weiteren Hinweisen; ferner Urteile des Bundesverwaltungsgerichts C-1618/2007 vom 27. Februar 2009 E. 3.3 und C-3985/2007 vom 2. Februar 2009 E. 4.3).</w:t>
      </w:r>
    </w:p>
    <w:p>
      <w:r>
        <w:rPr>
          <w:b/>
        </w:rPr>
        <w:t>E. 5.4</w:t>
      </w:r>
    </w:p>
    <w:p>
      <w:r>
        <w:t>Das Bundesverwaltungsgericht verfügt im vorliegenden Verfahren über die gleiche Kognition wie die Vorinstanz und ist zur freien Prüfung aller Sachverhalts- und Rechtsfragen befugt. Eine Voraussetzung zur (ausnahmsweisen) Heilung der Verletzung des rechtlichen Gehörs wäre somit gegeben. Andererseits ist hier von einer schwerwiegenden Verletzung der Parteirechte auszugehen. Mit ihrem Vorgehen hat die Vorinstanz dem Beschwerdeführer einen wesentlichen Bestandteil des Gehörsrechts vorenthalten. Daran vermag der Umstand nichts zu ändern, dass das BFM in der Vernehmlassung vom 4. März 2009 im Nachhinein punktuell einzelne Einwände des Beschwerdeführers aufgriff, blieben die massgebenden Fragen (rechtliches Gehör, familiäre Situation, Freizügigkeitsabkommen) darin doch nach wie vor unbeantwortet. Gegen die Zulässigkeit der Heilung des Verfahrensmangels spricht ferner der Umstand, dass der Entscheid betreffend Anordnung und Dauer des Einreiseverbots eine grosse Ermessenskomponente beinhaltet (vgl. BGE 104 Ib 129 E. 7 S. 137). Die Gehörsverletzung stellt sodann auch keinen Einzelfall dar (siehe etwa Urteile des Bundesverwaltungsgerichts C-1618/2007 vom 27. Februar 2009, C-3985/2007 vom 2. Februar 2009 oder C-7180/2007 vom 8. April 2008). Schliesslich muss der vorinstanzliche Entscheid bereits aus einem anderen Grund (siehe E. 5.5) kassiert werden.</w:t>
      </w:r>
    </w:p>
    <w:p>
      <w:r>
        <w:rPr>
          <w:b/>
        </w:rPr>
        <w:t>E. 5.5</w:t>
      </w:r>
    </w:p>
    <w:p>
      <w:r>
        <w:t>Zur festgestellten Verletzung des rechtlichen Gehörs kommen Mängel bei der Sachverhaltsermittlung hinzu (Art. 49 Bst. b VwVG). Wie angetönt, ist das Strafurteil des Bundesstrafgerichts vom 5. November 2008 nicht rechtskräftig. Da der Beschwerdeführer den eingeklagten Sachverhalt teilweise bestreitet und er praktisch zu gleicher Zeit wegen guter Führung vorzeitig aus dem Strafvollzug entlassen worden ist, hätte das BFM gestützt auf seine Pflicht zur Abklärung des rechtserheblichen Sachverhalts eine schriftliche Ausfertigung dieses Strafurteils einholen müssen und es nicht dabei bewenden lassen dürfen, lediglich das Dispositiv des entsprechenden Entscheides heranzuziehen. Eine solche Vorkehr hätte sich nur schon deshalb aufgedrängt, weil der Beschwerdeführer sich als EU-Bürger (wie mehrfach erwähnt) auf das Freizügigkeitsabkommen berufen kann, das ihm eine Reihe von Freizügigkeitsrechten vermittelt (zum Ganzen vgl. Urteil des Bundesverwaltungsgerichts C-3985/2007 vom 2. Februar 2009 E. 5.1 u. 5.2 [oder die im vorliegenden Verfahren ergangene Zwischenverfügung vom 12. Januar 2009]). Aus dem gleichen Grund genügt es nicht, in der Vernehmlassung nachträglich auf frühere Verurteilungen (gemeint sind wohl das Urteil des Bezirksgerichts Winterthur vom 20. Oktober 1999 und der Strafbefehl der Bezirksanwaltschaft Winterthur vom 24. September 2002) zu verweisen, wird doch in keiner Weise dargelegt, inwiefern sich daraus eine aktuelle, schwerwiegende Gefährdung im Sinne der Richtlinie 64/221/EWG ergibt. Überdies fehlt es in den Akten bislang an einem eindeutigen Nachweis, dass der Beschwerdeführer seiner Niederlassungsbewilligung verlustig gegangen ist (siehe dazu die Rekurseingabe des Parteivertreters vom 12. Dezember 2008 an den Regierungsrat des Kantons Zürich). Aufgrund dieser Ausführungen wird ersichtlich, dass die Vorinstanz nicht nur die Äusserungen des Betroffenen nicht wirklich zur Kenntnis genommen, sondern auch die massgebenden Sachverhaltselemente in der Folge nicht hinreichend abgeklärt hat.</w:t>
      </w:r>
    </w:p>
    <w:p>
      <w:r>
        <w:rPr>
          <w:b/>
        </w:rPr>
        <w:t>E. 6</w:t>
      </w:r>
    </w:p>
    <w:p>
      <w:r>
        <w:t>Zusammenfassend ist festzuhalten, dass die angefochtene Verfügung Bundesrecht verletzt (Art. 49 Bst. a und b VwVG). Die Beschwerde ist daher gutzuheissen, die Verfügung vom 12. November 2008 aufzuheben und die Sache im Sinne der Erwägungen an das BFM zur Neubeurteilung zurückzuweisen.</w:t>
      </w:r>
    </w:p>
    <w:p>
      <w:r>
        <w:rPr>
          <w:b/>
        </w:rPr>
        <w:t>E. 7</w:t>
      </w:r>
    </w:p>
    <w:p>
      <w:r>
        <w:t>Bei diesem Ausgang des Verfahrens sind dem Beschwerdeführer keine Kosten aufzuerlegen (Art. 63 Abs. 1 VwVG). In Anwendung von Art. 64 Abs. 1 VwVG i.V.m. Art. 7 ff. des Reglements vom 21. Februar 2008 über die Kosten und Entschädigungen vor dem Bundesverwaltungsgericht [VGKE, SR 173.320.2] ist dem Beschwerdeführer eine Parteientschädigung zuzusprechen. Diese ist auf Fr. 1'500.- festzusetzen.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