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C-8024/2009 vom 6. September 2011</w:t>
      </w:r>
    </w:p>
    <w:p>
      <w:r>
        <w:t>Bundesverwaltungsgericht, 2011-09-06, FR</w:t>
      </w:r>
    </w:p>
    <w:p>
      <w:r>
        <w:rPr>
          <w:b/>
        </w:rPr>
        <w:t xml:space="preserve">Quelle: </w:t>
      </w:r>
      <w:r>
        <w:t>https://mcp.opencaselaw.ch/entscheid/bvger_C-8024_2009</w:t>
      </w:r>
    </w:p>
    <w:p>
      <w:r>
        <w:t>FR: TAF C-8024/2009 du 6 septembre 2011</w:t>
      </w:r>
    </w:p>
    <w:p>
      <w:r>
        <w:t>IT: TAF C-8024/2009 del 6 settembre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1.4</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ATAF 2007/41 consid. 2 et l'arrêt du Tribunal administratif fédéral A-2682/2007 du 7 octobre 2010, consid. 1.2 et 1.3).</w:t>
      </w:r>
    </w:p>
    <w:p>
      <w:r>
        <w:rPr>
          <w:b/>
        </w:rPr>
        <w:t>E. 2.1</w:t>
      </w:r>
    </w:p>
    <w:p>
      <w:r>
        <w:t>Une nouvelle teneur de l'art. 67 LEtr, résultant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w:t>
      </w:r>
    </w:p>
    <w:p>
      <w:r>
        <w:rPr>
          <w:b/>
        </w:rPr>
        <w:t>E. 2.2</w:t>
      </w:r>
    </w:p>
    <w:p>
      <w:r>
        <w:t>En l'occurrence, il convient d'examiner dans le cas d'espèce si les éléments de fait pris en compte par l'ODM tombent sous le coup de la nouvelle disposition correspondante sans que l'application de cette dernière soit prohibée par le principe de non-rétroactivité. Dans ce contexte, il y a lieu de tenir compte de la nouvelle limite fixée à cinq ans pour la durée maximale de l'interdiction d'entrée, sauf menace grave pour la sécurité et l'ordre publics (cf. art. 67 al. 3 LEtr). La décision querellée du 9 décembre 2009, compte tenu des faits reprochés au recourant (cf. infra consid. 4), est fondée sur l'ancien art. 67 al. 1 let. a LEtr, qui correspond à l'alinéa 2 let. a du nouvel art. 67 LEtr. Par ailleurs, la durée de ladite mesure est supérieure à cinq ans. Il paraît utile de rappeler ici que l'art. 13 de la fédérale sur le séjour et l'établissement des étrangers du 26 mars 1931 (LSEE, RS 1 113) ne prévoyait pas une durée limitée de la mesure d'éloignement pour les étrangers indésirables, tout comme, d'ailleurs, l'ancienne version de l'art. 67 al. 3 LEtr dans les cas graves. Le nouvel art. 67 al. 3 LEtr prévoit, quant à lui, une durée de la mesure plus longue que cinq ans lorsque la personne concernée constitue (comme c'est le cas en l'espèce - cf. infra) une menace grave pour la sécurité et l'ordre publics. Même si la terminologie est différente dans la nouvelle version de l'art. 67 al. 3 LEtr, cette différence n'implique pas que l'autorité ne peut pas prononcer une mesure d'éloignement d'une durée indéterminée, pour autant que les circonstances du cas le justifient. Cette adaptation sémantique n'emporte toutefois aucune modification de la teneur au fond de la nouvelle disposition par rapport à l'ancien art. 67 al. 3, et à l'art. 13 LSEE. Aussi, l'application du nouveau droit aux éléments de fait ne pose pas de problème de rétroactivité proprement dite dans le cas d'espèce.</w:t>
      </w:r>
    </w:p>
    <w:p>
      <w:r>
        <w:rPr>
          <w:b/>
        </w:rPr>
        <w:t>E. 3.1</w:t>
      </w:r>
    </w:p>
    <w:p>
      <w:r>
        <w:t>Aux termes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Sur la portée territoriale de cette mesure concernant les personnes non-ressortissantes d'un Etat partie aux Accords d'association à Schengen, il y a lieu de se référer à l'arrêt du Tribunal administratif fédéral C-1667/2010 du 21 mars 2011 (consid. 3.3). Si des raisons humanitaires ou d'autres motifs importants le justifient, l'autorité appelée à statuer peut s'abstenir de prononcer une interdiction d'entrée ou suspendre provisoirement ou définitivement une interdiction d'entrée (art. 67 al. 5 LEtr).</w:t>
      </w:r>
    </w:p>
    <w:p>
      <w:r>
        <w:rPr>
          <w:b/>
        </w:rPr>
        <w:t>E. 3.2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une mesure ayant pour but de prévenir une atteinte à la sécurité et à l'ordre publics.</w:t>
      </w:r>
    </w:p>
    <w:p>
      <w:r>
        <w:rPr>
          <w:b/>
        </w:rPr>
        <w:t>E. 3.3</w:t>
      </w:r>
    </w:p>
    <w:p>
      <w:r>
        <w:t>Dans sa jurisprudence développée en relation avec l'art. 62 let. b LEtr s'agissant de la révocation d'une autorisation de séjour (ou d'établissement, vu le renvoi de l'art. 63 al. 1 let. a LEtr), le Tribunal fédéral considère qu'il y a lieu de retenir l'existence d'une "peine privative de longue durée" dès le prononcé d'une peine supérieure à un an de détention (cf. ATF 135 II 377 cons. 4.2). Il a précisé dans une jurisprudence récente que cette peine devait résulter d'une condamnation unique, et non de l'addition de plusieurs peines privatives de liberté (cf. arrêt 2C_415/2010 du 15 avril 2011 consid. 2.3). Il n'y a aucune raison de s'écarter de cette définition, qui peut être reprise mutatis mutandis pour l'interprétation de l'art. 67 al. 3 LEtr.</w:t>
      </w:r>
    </w:p>
    <w:p>
      <w:r>
        <w:rPr>
          <w:b/>
        </w:rPr>
        <w:t>E. 3.4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Rudin/ Hugi Yar/ Geiser [éd.], Ausländerrecht, 2ème éd., Bâle 2009, ch. 8.80 p. 356). En l'occurrence, l'ODM a prononcé à l'encontre d'A._______ une décision d'interdiction d'entrée en Suisse d'une durée indéterminée, estimant que celui-ci avait porté atteinte à la sécurité et l'ordre publics en raison de ses condamnations pénales des 14 février 2008 et 20 octobre 2009, ainsi que de ses nombreux antécédents judiciaires. 4.1. Le Tribunal constate que le Tribunal correctionnel de Boudry a condamné le recourant, par jugement du 20 novembre 2009, à une peine de quinze mois de privation de liberté, pour lésions corporelles simples, voies de fait, menaces, contrainte et violation de la LStup. Il s'agit donc d'une condamnation à une peine de longue durée, dans le sens de la jurisprudence précitée (cf. consid. 3.3). En outre, il avait déjà été condamné par le même tribunal, le 14 février 2008, à une peine privative de liberté de huit mois, peine suspendue au profit d'une mesure de placement en maison d'éducation au travail. 4.2. Le recourant fait valoir à l'appui de son pourvoi qu'il a été libéré conditionnellement le 20 décembre 2009, suite à la décision de l'Office d'application des peines et mesures du 2 novembre 2009, cet office ayant estimé qu'il ne présentait pas de danger pour la sécurité publique. De plus, il soutient que la privation de liberté a eu sur lui l'effet escompté (cf. mémoire de recours, p. 6). A cet égard, il convient de constater, en premier lieu que cette dernière affirmation est démentie par les constatations ressortant de l'arrêt du Tribunal E-2239/2008 du 14 juillet 2011 (cf. consid. 6.2), démontrant que le comportement du recourant n'a cessé de donner lieu à des interventions policières depuis sa libération conditionnelle le 20 décembre 2009. En second lieu, il sied de noter que cette mesure (libération conditionnelle) a été prise par l'autorité pénale dans un contexte bien précis et qu'elle ne préjuge pas de l'appréciation de l'autorité compétente en matière de droit des étrangers sur l'ensemble du dossier. Cette dernière autorité s'inspire en effet de considérations différentes de celles qui guident l'autorité pénale. Pour l'autorité de police des étrangers, l'ordre et la sécurité publics sont prépondérants; ainsi, en l'occurrence, cette dernière doit résoudre la question de savoir si le cas est grave d'après les critères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l'arrêt du Tribunal administratif fédéral C-3495/2008 du 20 septembre 2010, consid. 6.1.2 et jurisprudence citée). Il en va d'ailleurs de même de l'argument tiré de la conclusion du président du Tribunal correctionnel de Boudry qui, dans son ordonnance du 17 décembre 2009, relève que qu'"on ne peut pas dire que, actuellement, A._______ menace sérieusement d'autres personnes ou met gravement en danger leur vie ou leur intégrité corporelle" (cf. mémoire de recours, p. 6). 4.3. Au vu de ce qui précède, le Tribunal de céans estime que le recourant, par la commission des infractions précitées qui ont été sanctionnées pénalement, a attenté à la sécurité et à l'ordre publics, de sorte qu'il remplit les conditions d'application des art. 67 al. 2 let. a et 67 al. 3 LEtr.</w:t>
      </w:r>
    </w:p>
    <w:p>
      <w:r>
        <w:rPr>
          <w:b/>
        </w:rPr>
        <w:t>E. 5.1</w:t>
      </w:r>
    </w:p>
    <w:p>
      <w:r>
        <w:t>Dans son recours, le recourant soutient que la décision d'interdiction d'entrée viole l'art. 8 par. 1 CEDH, dont les fiancés peuvent se prévaloir en cas de relations étroites et effectivement vécues depuis longtemps ainsi que d'indices concrets d'un mariage sérieusement voulu et imminent (cf. mémoire de recours, p. 7). En outre, il invoque implicitement ladite disposition conventionnelle en sa faveur sous un autre angle, en soulignant qu'il a complètement changé d'attitude depuis la mort de son père et qu'il entend désormais assumer "le rôle du chef de famille, qui lui revient" (ibidem, p. 6). Dans ce contexte, il affirme également qu'il a besoin du soutien de sa mère, de son frère et de sa soeur, et qu'il perdrait tout ce soutien "logistique" s'il venait à ne pas pouvoir rester en Suisse (cf. observations du 11 juin 2010, p. 2).</w:t>
      </w:r>
    </w:p>
    <w:p>
      <w:r>
        <w:rPr>
          <w:b/>
        </w:rPr>
        <w:t>E. 5.2</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131 II 265 consid. 5; Alain Wurzburger, La jurisprudence récente du Tribunal fédéral en matière de police des étrangers, RDAF 1997, p. 285).D'après la jurisprudence, les relations familiales qui peuvent fonder, en vertu de l'art. 8 par. 1 CEDH, un droit à une autorisation de police des étrangers sont avant tout les rapports entre époux ainsi qu'entre parents et enfants mineurs vivant ensemble (ATF 135 I précité consid. 1.3.2). L'art. 13 al. 1 de la Constitution fédérale de la Confédération suisse du 18 avril 1999 (Cst.; RS 101) garantit la même protection (ATF 129 II 215 consid. 4.2). Sous réserve de circonstances particulières, les fiancés ou les concubins ne sont toutefois pas habilités à invoquer l'art. 8 CEDH (cf. l'arrêt du Tribunal fédéral 2C_706/2008 du 13 octobre 2008 consid. 2.2).5.3. In casu, il n'est point nécessaire de trancher définitivement la question de savoir si la décision entreprise porte atteinte à la vie privée et familiale du recourant, au sens de la disposition conventionnelle précitée. En effet,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Au vu de la gravité des actes pour lesquels il a été sanctionné pénalement durant son séjour dans le canton de Neuchâtel, force est d'admettre que l'intérêt public à son éloignement de Suisse prévaut manifestement sur l'intérêt privé contraire à pouvoir entretenir des relations familiales sur le territoire de ce pays (cf. infra consid. 6.2). Partant, la décision d'interdiction d'entrée prise à l'encontre du recourant le 9 décembre 2009 apparaît comme justifiée également au regard de cette disposition conventionnelle et de la jurisprudence en la matière. 5.4. Au demeurant, il convient de noter, à titre superfétatoire, que le recourant ne dispose de toute manière d'aucun titre de séjour en Suisse et qu'il n'est donc pas autorisé à entreprendre en ce pays les démarches nécessaires en vue de l'ouverture d'une procédure préparatoire de mariage (cf. courrier de l'Office de l'état civil de la ville de Neuchâtel du 12 février 2010, pièce produite le 18 février 2010). A cet égard, le recourant précise avoir déposé auprès de l'ODM une demande de reconsidération se basant sur le fait qu'il doit se marier avec une ressortissante suisse (cf. courrier du 28 mars 2011). Or, il n'appert pas du dossier de la cause que l'autorité de première instance ait donné une suite favorable à dite requête, ni d'ailleurs qu'une telle demande ait été effectivement déposée auprès de l'ODM.</w:t>
      </w:r>
    </w:p>
    <w:p>
      <w:r>
        <w:rPr>
          <w:b/>
        </w:rPr>
        <w:t>E. 6</w:t>
      </w:r>
    </w:p>
    <w:p>
      <w:r>
        <w:t>Il convient encore d'examiner si la mesure d'éloignement prise par l'ODM satisfait aux principes de la proportionnalité et de l'égalité de traitement.</w:t>
      </w:r>
    </w:p>
    <w:p>
      <w:r>
        <w:rPr>
          <w:b/>
        </w:rPr>
        <w:t>E. 6.1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l'arrêt du Tribunal administratif fédéral C-2306/2008 du 13 octobre 2009, consid. 9 et les références citées).</w:t>
      </w:r>
    </w:p>
    <w:p>
      <w:r>
        <w:rPr>
          <w:b/>
        </w:rPr>
        <w:t>E. 6.2</w:t>
      </w:r>
    </w:p>
    <w:p>
      <w:r>
        <w:t>S'agissant de l'intérêt privé du recourant à pouvoir entrer en Suisse, il apparaît que celui-ci peut se prévaloir d'attaches familiales en ce pays, où réside "toute sa famille" (cf. mémoire de recours, p. 8), à savoir sa mère, son frère et sa soeur (cf. déterminations du 11 juin 2010, p. 2). En ce qui concerne l'intérêt public, il est à noter que les actes pour lesquels le recourant a été condamné en Suisse sont graves et justifient une intervention ferme des autorités. A cet égard, il sied d'observer que la Cour V du Tribunal, dans son arrêt E-2239/2008 du 14 juillet 2011, a déjà eu l'occasion de se prononcer de manière circonstanciée sur la pesée des intérêts en présence et sur l'examen de la proportionnalité (cf. consid. 5.3). Dans cet arrêt, le Tribunal est arrivé à la conclusion que l'intérêt public devait l'emporter sur les considérations d'ordre privé, compte tenu de la gravité des peines auxquelles le recourant a été condamné, la persistance de son activité délictueuse depuis un long laps de temps et la nature des biens touchés. Même si cette pesée des intérêts a été effectuée dans le contexte du recours en matière d'exécution du renvoi, les éléments pris en considération et le résultat n'en gardent pas moins toute leur pertinence, mutatis mutandis, par rapport à la mesure d'éloignement prononcée le 9 décembre 2009, de sorte qu'il suffit de renvoyer le recourant au considérant pertinent de cet arrêt. Aussi la fixation d'une mesure d'interdiction d'entrée d'une durée indéterminée au sens de l'art. 67 al. 3 LEtr est-elle parfaitement justifiée dans le cas concret et conforme au principe de la proportionnalité.</w:t>
      </w:r>
    </w:p>
    <w:p>
      <w:r>
        <w:rPr>
          <w:b/>
        </w:rPr>
        <w:t>E. 6.3</w:t>
      </w:r>
    </w:p>
    <w:p>
      <w:r>
        <w:t>Quant aux prétendus efforts déployés par le recourant "pour retrouver sa place dans la société" (cf. observations du 11 juin 2010, p. 2), ils ne sont pas déterminants en l'état. A tout le moins, ils ne permettent pas, à eux seuls, de faire admettre un pronostic favorable quant au comportement futur de l'intéressé. La libération conditionnelle du recourant le 20 décembre 2009 est encore trop récente pour pouvoir exclure un cas de récidive, cela d'autant que son comportement a donné lieu à de nouvelles interventions policières, comme il a été exposé ci-avant. Tout risque de mise en danger de l'ordre et de la sécurité publics ne peut donc en aucun cas être écarté. La demande de reconsidération du 15 février 2008 ayant été définitivement rejetée (cf. arrêt du Tribunal administratif E-2239/2008 du 14 juillet 2011), l'intéressé devra retourner dans son pays d'origine et y faire la preuve qu'il est capable d'aménager un cadre de vie régulier lui permettant de subvenir à ses besoins et de réguler son existence quotidienne sans retomber dans la délinquance.</w:t>
      </w:r>
    </w:p>
    <w:p>
      <w:r>
        <w:rPr>
          <w:b/>
        </w:rPr>
        <w:t>E. 6.4</w:t>
      </w:r>
    </w:p>
    <w:p>
      <w:r>
        <w:t>Au vu de l'ensemble des éléments objectifs et subjectifs de la cause, le Tribunal estime que l'interdiction d'entrée en Suisse prononcée par l'autorité inférieure est adéquate et que sa durée indéterminée respecte le principe de proportionnalité. Par ailleurs, cette mesure n'est pas contraire au principe d'égalité de traitement, au regard des décisions prises par les autorités dans des cas analogues. Au demeurant, quand bien même aucune limite temporelle n'est fixée pour la validité de l'interdiction d'entrée, il sied de noter que cette décision n'étend pas ses effets de manière illimitée. En effet, A._______ conserve la faculté de solliciter de l'ODM dans le futur qu'il réexamine la décision d'interdiction d'entrée prononcée à son endroit. S'il devait s'avérer que l'ordre et la sécurité publics n'exigent plus le maintien de l'interdiction d'entrée, l'ODM pourrait ainsi revenir sur sa décision (ATF 114 Ib 1 consid. 4). Toutefois, le Tribunal juge difficilement concevable, en l'état actuel des choses, que cet Office entre en matière sur une telle demande tant que l'intéressé n'aura pas respecté pendant un laps de temps équivalant pour le moins à plusieurs années l'éloignement du territoire helvétique imposé par cette mesure administrative, démontré qu'il s'est ainsi amendé durablement et rendu hautement crédible qu'il a rompu de manière définitive avec le milieu de la délinquance, de sorte que tout risque de le voir commettre de nouvelles infractions en Suisse puisse être écarté de manière quasi certaine (cf. ATF 130 II 493 consid. 5).</w:t>
      </w:r>
    </w:p>
    <w:p>
      <w:r>
        <w:rPr>
          <w:b/>
        </w:rPr>
        <w:t>E. 7</w:t>
      </w:r>
    </w:p>
    <w:p>
      <w:r>
        <w:t>Il ressort de ce qui précède que, par sa décision du 9 décembre 2009,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