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C-8023/2009 vom 5. Juli 2010</w:t>
      </w:r>
    </w:p>
    <w:p>
      <w:r>
        <w:t>Bundesverwaltungsgericht, 2010-07-05, FR</w:t>
      </w:r>
    </w:p>
    <w:p>
      <w:r>
        <w:rPr>
          <w:b/>
        </w:rPr>
        <w:t xml:space="preserve">Quelle: </w:t>
      </w:r>
      <w:r>
        <w:t>https://mcp.opencaselaw.ch/entscheid/bvger_C-8023_2009</w:t>
      </w:r>
    </w:p>
    <w:p>
      <w:r>
        <w:t>FR: TAF C-8023/2009 du 5 juillet 2010</w:t>
      </w:r>
    </w:p>
    <w:p>
      <w:r>
        <w:t>IT: TAF C-8023/2009 del 5 luglio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w:t>
      </w:r>
    </w:p>
    <w:p>
      <w:r>
        <w:rPr>
          <w:b/>
        </w:rPr>
        <w:t>E. 5.1</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LEtr. Aussi, la pratique et la jurisprudence relatives à l'art. 5 LEtr, notamment celles concernant la garantie de sortie prévue par l'art. 5 al. 2 LEtr, peuvent-elles être reprises in casu (sur les détails de cette problématique, cf. ATAF 2009/27 consid. 5.2 et 5.3 p. 344).</w:t>
      </w:r>
    </w:p>
    <w:p>
      <w:r>
        <w:rPr>
          <w:b/>
        </w:rPr>
        <w:t>E. 5.3</w:t>
      </w:r>
    </w:p>
    <w:p>
      <w:r>
        <w:t>Le Règlement (CE) no 539/2001 du Conseil du 15 mars 2001 (JO L 81 du 21 mars 2001, p. 1-7) différencie, en son art. 1 par. 1 et 2, les ressortissants des Etats tiers selon qu'ils sont soumis ou non à l'obligation du visa. En tant que ressortissant du Kosovo, A._______ est soumis à l'obligation du visa.</w:t>
      </w:r>
    </w:p>
    <w:p>
      <w:r>
        <w:rPr>
          <w:b/>
        </w:rPr>
        <w:t>E. 6</w:t>
      </w:r>
    </w:p>
    <w:p>
      <w:r>
        <w:t>Dans la décision attaquée, rendue en application de l'art. 5 LEtr, l'ODM a refusé d'autoriser le recourant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 et touristique. Afin de déterminer si l'étranger présente les garanties nécessaires à sa sortie de Suisse, l'autorité se base, d'une part, sur la situation politique, sociale et économique prévalant dans le pays de provenance de l'intéressé et, d'autre part, sur sa situation personnelle, familiale et professionnelle.</w:t>
      </w:r>
    </w:p>
    <w:p>
      <w:r>
        <w:rPr>
          <w:b/>
        </w:rPr>
        <w:t>E. 7</w:t>
      </w:r>
    </w:p>
    <w:p>
      <w:r>
        <w:t>Le Tribunal ne saurait certes d'emblée écarter les craintes émises par l'ODM quant à une éventuelle prolongation du séjour de A._______ au-delà de la durée de validité du visa sollicité, eu égard en particulier aux disparités économiques importantes existant entre la Suisse et le Kosovo. A ce sujet, il faut prendre en considération la qualité de vie et les conditions économiques et sociales difficiles que connaît l'ensemble de la population du Kosovo (pays dont le taux de chômage s'élevait à 43% et dont le PIB par habitant était de EUR 1'759.- en 2009 [source: site internet du Ministère français des affaires étrangères &gt; France-Diplomatie &gt; Pays-zones géo &gt; Kosovo ; mis à jour le 25 mai 2010]).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La situation dans le pays d'origine du requérant ne suffit toutefois pas à conclure à l'absence de garantie quant à la sortie de Suisse à l'issue du séjour projeté, toutes les particularités du cas d'espèce devant être prises en considération. En l'occurrence, A._______ est un retraité âgé de 60 ans qui réside avec son épouse, D._______, dans la maison familiale que leur fils leur a fait construire à Peje, il y a quelques années. Certes, on ne saurait déduire de ces éléments que le requérant dispose d'une situation aisée ou d'une fortune importante. Il ressort néanmoins des informations fournies en cours de procédure que l'intéressé et son épouse, outre leur qualité de propriétaires d'une demeure estimée à EUR 80'000, bénéficient du soutien financier durable de leurs fils, dont B._______, et qu'ils ont ainsi des moyens d'existence suffisants pour leur assurer un cadre de vie décent. Aussi, la situation familiale et économique du recourant au Kosovo apparaît suffisamment stable pour qu'il ne cherche pas à échapper à ses conditions de vie en s'établissant en Suisse ou dans un autre Etat membre de l'Espace Schengen. Le Tribunal considère dès lors que le risque que A._______ choisisse, à son âge, de s'exiler dans un environnement qui lui est étranger et dont il ne maîtrise pas la langue, paraît plus théorique que réel (cf. arrêt du Tribunal administratif fédéral C-8386/2008 du 16 septembre 2009 consid. 9.1). Il convient de remarquer par ailleurs que l'épouse du recourant a obtenu à cinq reprises (soit en 2002, 2007, 2008, 2009 et 2010) des visas d'entrée pour des visites familiales en Suisse et qu'elle est jusqu'ici toujours retournée au Kosovo en respectant les échéances convenues. Il apparaît en outre que l'octroi d'un visa d'une durée de deux mois à des fins strictement familiales n'est pas excessif, si l'on songe que l'intéressé n'est jusqu'ici jamais venu en Suisse pour une visite à son fils et à la famille de celui-ci. Il s'impose de relever au surplus que le recourant s'est engagé à retourner au Kosovo au terme de son séjour. Or, le Tribunal ne décèle aucun indice permettant de mettre en cause la bonne foi du recourant et sa volonté de respecter les termes du visa sollicité. Les craintes émises par l'autorité intimée ne sauraient dès lors être partagées. Enfin, il est manifeste que les autres conditions cumulatives de l'art. 5 LEtr sont remplies et qu'aucun motif de refus au sens de l'art. 12 al. 2 OEV n'est réalisé. Aussi, eu égard aux liens sociaux et familiaux qui rattachent le recourant à son pays, ainsi qu'à la situation matérielle qui est la sienne, le Tribunal est amené à considérer que son retour au Kosovo à l'échéance du visa requis peut être tenu, avec un haut degré de probabilité, pour garanti, conformément aux exigences posées par l'art. 5 al. 2 LEtr. Cela étant, et dans la mesure où A._______ remplit les conditions d'octroi d'un visa Schengen, il est superflu d'examiner le grief tiré d'une violation du principe d'égalité de traitement, en relation avec les visas précédemment octroyés à son épouse, D._______, dont le dernier durant la présente procédure de recours.</w:t>
      </w:r>
    </w:p>
    <w:p>
      <w:r>
        <w:rPr>
          <w:b/>
        </w:rPr>
        <w:t>E. 8</w:t>
      </w:r>
    </w:p>
    <w:p>
      <w:r>
        <w:t>Le recours est en conséquence admis, la décision attaquée annulée et la cause renvoyée pour nouvel examen à l'ODM, lequel devra déterminer si A._______ remplit les conditions d'entrée posées par le code frontières Schengen ou s'il convient, le cas échéant, de lui octroyer un visa à validité territoriale limitée en application de l'art. 2 al. 4 OEV. Obtenant gain de cause, le recourant n'a pas à supporter de frais de procédure (art. 63 al. 1 PA a contrario et art. 63 al. 3 PA). Bien qu'elle succombe, l'autorité inférieure n'a pas à supporter de frais de procédure (art. 63 al. 2 PA). Il ne se justifie par ailleurs pas d'allouer des dépens, dès lors que le recourant a agi dans la présente cause sans l'assistance d'un mandataire professionnel (cf. ATF 134 I 184 consid. 6.3, 113 Ib 357 consid. 6b, 107 Ib 283) et que l'on ne saurait considérer comme élevés les frais éventuels qu'il a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