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C-8019/2008 vom 26. Mai 2009</w:t>
      </w:r>
    </w:p>
    <w:p>
      <w:r>
        <w:t>Bundesverwaltungsgericht, 2009-05-26, FR</w:t>
      </w:r>
    </w:p>
    <w:p>
      <w:r>
        <w:rPr>
          <w:b/>
        </w:rPr>
        <w:t xml:space="preserve">Quelle: </w:t>
      </w:r>
      <w:r>
        <w:t>https://mcp.opencaselaw.ch/entscheid/bvger_C-8019_2008</w:t>
      </w:r>
    </w:p>
    <w:p>
      <w:r>
        <w:t>FR: TAF C-8019/2008 du 26 mai 2009</w:t>
      </w:r>
    </w:p>
    <w:p>
      <w:r>
        <w:t>IT: TAF C-8019/2008 del 26 maggio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Dans la mesure où la recourante invoque un vice de procédure, reprochant en particulier à l'autorité inférieure d'avoir versé dans l'arbitraire en fondant sa décision uniquement sur des considérations toutes générales (cf. mémoire de recours, p. 2), il convient d'examiner en priorité ce grief.</w:t>
      </w:r>
    </w:p>
    <w:p>
      <w:r>
        <w:rPr>
          <w:b/>
        </w:rPr>
        <w:t>E. 3.1</w:t>
      </w:r>
    </w:p>
    <w:p>
      <w:r>
        <w:t>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(cf. notamment ATF 130 II 473 consid. 4.1, 130 II 530 consid. 4.3, 129 I 232 consid. 3.2). Cette obligation est cependant définie avant tout par les dispositions spéciales de procédure et, en particulier, par l'art. 35 PA qui n'en fixe toutefois pas les limites. A teneur de l'al. 1 de cette dernière disposition, les autorités sont tenues de motiver leurs décisions écrites. Selon la jurisprudence, les art. 35 al. 1 et 61 al. 2 PA ont la même portée que le droit d'obtenir une décision motivée qui a été déduit du droit d'être entendu formalisé à l'art. 29 al. 2 Cst. (cf. arrêts du Tribunal fédéral I 293/02 / I 302/02 du 21 juillet 2003, consid. 2.2, et H 249/00 du 27 mars 2001, consid. 4a).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(ATF 130 II 530 consid. 4.3; 129 I 232 consid. 3.2; 126 I 97 consid. 2b; 112 Ia 107 consid. 2b). Elle peut ainsi passer sous silence ce qui, sans arbitraire, lui paraît à l'évidence non établi ou sans pertinence (cf. arrêt 5P.408/2004 du 10 janvier 2005, consid. 2.2 et réf. citées). Exceptionnellement, une éventuelle violation du droit d'être entendu peut être guérie lorsque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 JAAC 68.133 consid. 2.2).</w:t>
      </w:r>
    </w:p>
    <w:p>
      <w:r>
        <w:rPr>
          <w:b/>
        </w:rPr>
        <w:t>E. 3.2</w:t>
      </w:r>
    </w:p>
    <w:p>
      <w:r>
        <w:t>En l'espèce, si la motivation contenue dans la décision querellée est certes succincte et schématique, l'ODM s'est néanmoins prononcé sur les principaux arguments de la requête, de sorte que la recourante a été parfaitement en mesure de saisir les éléments essentiels sur lesquels l'autorité inférieure s'est fondée pour justifier sa position. Preuve en est le mémoire de recours circonstancié qu'elle a déposé le 12 décembre 2008. En tout état de cause, même si une violation de l'obligation de motiver avait dû être constatée, ce vice devrait être considéré comme guéri, dès lors que l'autorité inférieure a précisé sa motivation dans le cadre de la procédure d'échange d'écritures, en prenant une nouvelle fois position sur les arguments décisifs dans son préavis et en les explicitant, la recourante ayant ensuite eu la possibilité de se prononcer et de faire ainsi entendre son point de vue à satisfaction de droit (cf. ATF 116 V 28 consid. 4b).</w:t>
      </w:r>
    </w:p>
    <w:p>
      <w:r>
        <w:rPr>
          <w:b/>
        </w:rPr>
        <w:t>E. 3.3</w:t>
      </w:r>
    </w:p>
    <w:p>
      <w:r>
        <w:t>Dans ces circonstances, le moyen tiré de la violation du droit d'être entendu doit être écarté.</w:t>
      </w:r>
    </w:p>
    <w:p>
      <w:r>
        <w:rPr>
          <w:b/>
        </w:rPr>
        <w:t>E. 4</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5</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loi fédérale du 16 décembre 2005 sur les étrangers (LEtr, RS 142.20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6.1</w:t>
      </w:r>
    </w:p>
    <w:p>
      <w:r>
        <w:t>S'agissant des conditions d'entrée en Suisse applicables aux ressortissants de pays tiers qui souhaitent séjourner en ce pays pendant une période maximale de trois mois, l'art. 5 par 1 du Règlement (CE) no 562/2006 du Parlement européen et du Conseil du 15 mars 2006 établissant un code communautaire relatif au franchissement des frontières par les personnes (code frontières Schengen [JO L 105 du 13 avril 2006 p. 1-32]), auquel renvoie l'art. 2 al. 1 OEV, prévoit que les intéressés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6.2</w:t>
      </w:r>
    </w:p>
    <w:p>
      <w:r>
        <w:t>Les conditions d'entrée prévues par le code frontières Schengen correspondent, pour l'essentiel, à celles posées à l'art. 5 al. 1 let. a à d LEtr. S'agissant de l'obligation faite à l'étranger de justifier l'objet et les conditions du séjour envisagé qui est prescrite par l'art. 5 par. 1 let. c du code frontières Schengen, mais n'est pas explicitement mentionnée à l'art. 5 al. 1 LEtr, son examen correspond, dans la mesure où l'indication de l'objet du séjour temporaire prévu constitue de fait une déclaration d'intention de quitter le pays une fois le but du séjour atteint, à l'examen de la garantie de sortie de Suisse au sens de l'art. 5 al. 2 LEtr. C'est dans ce sens également que vont les Instructions consulaires communes du 22 décembre 2005 adressées aux représentations diplomatiques et consulaires de carrière (ICC, JO 2005 C 326 p. 1-149). Aussi la pratique et la jurisprudence appliquées à la disposition de l'art. 5 al. 2 LEtr peuvent-elles être reprises (cf. notamment les arrêts du Tribunal de céans C-7114/2008 du 20 mars 2009 et C-5046/2008 du 5 mars 2009 consid. 5.2 et 5.3).</w:t>
      </w:r>
    </w:p>
    <w:p>
      <w:r>
        <w:rPr>
          <w:b/>
        </w:rPr>
        <w:t>E. 7</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de Chine, B._______ est soumise à l'obligation du visa.</w:t>
      </w:r>
    </w:p>
    <w:p>
      <w:r>
        <w:rPr>
          <w:b/>
        </w:rPr>
        <w:t>E. 8.1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8.2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8.3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8.4</w:t>
      </w:r>
    </w:p>
    <w:p>
      <w:r>
        <w:t>A ce sujet, il faut prendre en considération la qualité de vie et les conditions économiques que connaît l'ensemble de la population chinoise dans un contexte d'un taux de croissance à deux chiffres où les inégalités n'ont jamais été aussi fortes et les conditions d'emploi et de vie demeurent précaires dans les anciennes zones industrielles, les campagnes et à la périphérie des villes (source: site internet du Ministère français des affaires étrangères &gt; France-Diplomatie &gt; Pays-zones géo &gt; Chine &gt; Présentation de la Chine &gt; économie; mise à jour: 5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8.5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9</w:t>
      </w:r>
    </w:p>
    <w:p>
      <w:r>
        <w:t>En l'occurrence, il ressort des pièces du dossier que B._______ est âgée de vint-trois ans, célibataire et sans charge de famille, de sorte qu'elle serait à même de se créer une nouvelle existence hors de Chine sans que cela n'entraîne pour elle de difficultés particulières sur le plan familial. Certes, la recourante fait valoir que la prénommée vit avec ses parents dans son pays d'origine et qu'elle y a également un ami (« fiancé informel »), en soulignant que les relations familiales sont importantes dans la tradition chinoise (cf. déterminations expédiées le 18 mars 2009, p. 1). Même s'il convient d'admettre que de tels liens peuvent, dans une certaine mesure, inciter une personne, au terme du séjour envisagé en Suisse, à retourner dans le pays où elle réside, le Tribunal est néanmoins d'avis qu'ils ne sauraient, dans le contexte socio-économique difficile prévalant en Chine - pays qui est également touché par la crise mondiale qui sévit en ce moment -, suffire, à eux seuls, à garantir le retour de l'intéressée dans cet Etat. Sur le plan professionnel, la recourante insiste sur le fait que sa soeur bénéfice d'un poste de travail stable en Chine, qu'elle y réalise un revenu confortable et qu'elle apprécie son métier. De plus, elle indique que ses parents disposent « d'un patrimoine non négligeable » (ibidem, p. 2). Aussi assure-t-elle que l'intéressée n'a nullement l'intention de demeurer en Suisse à l'issue du séjour projeté, cela d'autant moins qu'elle ne pourrait assurément pas poursuivre à l'étranger l'activité de guide touristique qu'elle exerce dans sa patrie. Sur ce point, force est de mentionner, au vu de l'expérience générale, que de tels éléments sont parfois insuffisants pour inciter une personne à retourner dans son pays et, souvent, ne l'emportent pas sur la perspective d'une situation plus favorable en Suisse. En effet, les autorités helvétiques ne peuvent totalement exclure que l'intéressée ne s'efforce, une fois entrée en ce pays, d'obtenir un titre de séjour dans l'espoir d'y exercer, fût-ce de manière temporaire, une activité lucrative lui procurant des conditions d'existence meilleures que celles rencontrées dans son pays d'origine. Quoi qu'en pense la recourante, qui qualifie la Chine de pays moderne dans ses villes et offrant un niveau de vie occidental aux personnes ayant des ressources en suffisance (ibidem), il ne faut pas perdre de vue que le niveau de vie en Suisse reste néanmoins sensiblement supérieur à celui prévalant en Chine au sein de la population, fût-elle relativement aisée. Or, cette différence de niveau de vie peut s'avérer déterminante lorsqu'on prend la décision de quitter sa patrie. Cette hypothèse peut en l'espèce être d'autant moins écartée que B._______ dispose dans le canton de Vaud d'un réseau social et familial bien établi par la présence de sa soeur, A._______. A cet égard, il est significatif de relever que la prénommée avait été mise au bénéficie d'autorisations de séjour temporaires dans les cantons du Valais (mai 2001) et de Vaud (novembre 2002 et mai 2003) aux fins d'y entreprendre des études de français. Or, alors qu'elle s'était pourtant engagée à retourner en Chine à la fin de de ses études et à y commencer une activité professionnelle dans la perspective d'un « bon avenir » (cf. courrier adressé au SPOP/VD le 14 avril 2003; dossier cantonal), A._______ n'a pas honoré cet engagement en poursuivant pendant un certain temps de manière illégale son séjour dans le canton de Vaud, avant de solliciter le 28 août 2006 la régularisation de ses conditions de résidence auprès de l'autorité cantonale compétente en vue de son mariage avec un citoyen suisse (cf. dossier cantonal). Au vu de ce qui précède, l'on ne saurait donc complètement exclure que B._______ soit également tentée, une fois entrée en Suisse, de prolonger sa présence en ce pays à un titre quelconque au terme du séjour projeté, et ce malgré les assurances contraires qui ont été données dans le cadre de la procédure de recours. Enfin, la recourante fait savoir qu'elle est disposée à réduire la durée de la demande de visa sollicitée initialement pour trois mois en faveur de sa soeur (cf. mémoire de recours, p. 3), dans la mesure où l'accouchement a déjà eu lieu et où un séjour d'un mois au maximum apparaît suffisant pour découvrir la Suisse (cf. déterminations expédiées le 18 mars 2009, p. 2). De plus, elle expose que l'employeur de B._______ ne sera plus enclin à concéder un congé de longue durée (ibidem). Le Tribunal de céans prend acte de ces explications, mais estime qu'elles ne sont point susceptibles de modifier l'analyse faite ci-dessus.</w:t>
      </w:r>
    </w:p>
    <w:p>
      <w:r>
        <w:rPr>
          <w:b/>
        </w:rPr>
        <w:t>E. 10</w:t>
      </w:r>
    </w:p>
    <w:p>
      <w:r>
        <w:t>Cela étant, ni le souhait de B._______ de vouloir rendre visite à sa soeur et sa famille dans le canton de Vaud, ni le désir de la recourante d'accueillir l'intéressée en ce pays ne suffisent à eux seuls à justifier l'octroi du visa sollicité, à propos duquel l'intéressée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chinois)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11</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momentanément son séjour. De même, l'intention que peut manifester une personne de retourner dans son pays à l'issue de son séjour, voire son engagement formel à le faire, n'ont aucune force juridique (cf. arrêt du Tribunal de céans C-4667/2008 du 4 mai 2009, consid. 8) et ne suffisent pas non plus à garantir que son départ interviendra dans les délais prévus.</w:t>
      </w:r>
    </w:p>
    <w:p>
      <w:r>
        <w:rPr>
          <w:b/>
        </w:rPr>
        <w:t>E. 12</w:t>
      </w:r>
    </w:p>
    <w:p>
      <w:r>
        <w:t>Par ailleurs, la recourante, qui cite plusieurs arrêts rendus par le Tribunal de céans en matière d'autorisation d'entrée en Suisse (cf. mémoire de recours et déterminations ultérieures), n'a aucunement démontré en quoi le refus d'octroyer une autorisation d'entrée en Suisse à sa soeur serait contraire à la jurisprudence constante en la matière. Par ailleurs, ainsi que l'a souligné le Tribunal fédéral dans sa jurisprudence, il est très difficile, dans le domaine du droit des étrangers, de faire des comparaisons, les particularités du cas d'espèce étant déterminantes (cf. arrêt 2A.305/2006 du 2 août 2006 consid. 5.3, relatif à une exception aux mesures de limitation, mais applicable mutatis mutandis à l'objet du présent litige). Cela étant, le Tribunal observe que le cas de B._______ a fait l'objet d'une analyse détaillée, de laquelle il est ressorti qu'elle ne remplit pas les conditions mises à l'art. 5 al. 2 LEtr relatives à la garantie de sortie de Suisse.</w:t>
      </w:r>
    </w:p>
    <w:p>
      <w:r>
        <w:rPr>
          <w:b/>
        </w:rPr>
        <w:t>E. 13</w:t>
      </w:r>
    </w:p>
    <w:p>
      <w:r>
        <w:t>Par surabondance, il convient encore de relever qu'un refus d'autorisation d'entrée en Suisse prononcé par les autorités helvétiques n'a pas en l'occurrence pour conséquence d'empêcher la recourante et sa soeur de se voir, les intéressées pouvant tout aussi bien se rencontrer hors de Suisse, notamment en Chine, nonobstant les inconvénients d'ordre pratique ou de convenance personnelle que cela pourrait engendrer.</w:t>
      </w:r>
    </w:p>
    <w:p>
      <w:r>
        <w:rPr>
          <w:b/>
        </w:rPr>
        <w:t>E. 14</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Suisse en sa faveur.</w:t>
      </w:r>
    </w:p>
    <w:p>
      <w:r>
        <w:rPr>
          <w:b/>
        </w:rPr>
        <w:t>E. 15</w:t>
      </w:r>
    </w:p>
    <w:p>
      <w:r>
        <w:t>Compte tenu des considérants exposés ci-dessus, il appert que, par sa décision du 10 novembre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