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C-8009/2009 vom 7. September 2012</w:t>
      </w:r>
    </w:p>
    <w:p>
      <w:r>
        <w:t>Bundesverwaltungsgericht, 2012-09-07, DE</w:t>
      </w:r>
    </w:p>
    <w:p>
      <w:r>
        <w:rPr>
          <w:b/>
        </w:rPr>
        <w:t xml:space="preserve">Quelle: </w:t>
      </w:r>
      <w:r>
        <w:t>https://mcp.opencaselaw.ch/entscheid/bvger_C-8009_2009</w:t>
      </w:r>
    </w:p>
    <w:p>
      <w:r>
        <w:t>FR: TAF C-8009/2009 du 7 septembre 2012</w:t>
      </w:r>
    </w:p>
    <w:p>
      <w:r>
        <w:t>IT: TAF C-8009/2009 del 7 settembre 2012</w:t>
      </w:r>
    </w:p>
    <w:p>
      <w:pPr>
        <w:pStyle w:val="Heading2"/>
      </w:pPr>
      <w:r>
        <w:t>Regeste</w:t>
      </w:r>
    </w:p>
    <w:p>
      <w:r>
        <w:t>Invalidenversicherung (IV)</w:t>
      </w:r>
    </w:p>
    <w:p>
      <w:pPr>
        <w:pStyle w:val="Heading2"/>
      </w:pPr>
      <w:r>
        <w:t>Erwägungen</w:t>
      </w:r>
    </w:p>
    <w:p>
      <w:r>
        <w:rPr>
          <w:b/>
        </w:rPr>
        <w:t>E. 1</w:t>
      </w:r>
    </w:p>
    <w:p>
      <w:r>
        <w:t>Zu beurteilen ist die Beschwerde vom 23. Dezember 2009, mit der die rentenanspruchsabweisende Verfügung der Vorinstanz vom 27. Novem­ber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Da auch der einverlangte Verfahrens­kostenvorschuss fristgerecht geleistet wurde, ist auf die im Übrigen form- und fristgerecht eingereichte Beschwerde einzutreten (vgl. Art. 59 und 60 ATSG sowie Art. 52 Abs. 1 VwVG und Art. 63 Abs. 4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2.3</w:t>
      </w:r>
    </w:p>
    <w:p>
      <w:r>
        <w:t>Die Verwaltung als verfügende Instanz und - im Beschwerdefall - das Gericht dürfen eine Tatsache nur dann als bewiesen annehmen, wenn sie von ihrem Bestehen überzeugt sind (vgl.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 Isabelle Häner, Verwaltungsverfahren und Verwaltungsrechtspflege des Bundes, 2. Aufl., Zürich 1998, Rz. 111 und 320; Fritz Gygi, a.a.O., S. 274; vgl. auch BGE 122 II 464 E. 4a, BGE 122 III 219 E. 3c, BGE 120 1b 224 E. 2b, BGE 119 V 335 E. 3c mit Hinweisen).</w:t>
      </w:r>
    </w:p>
    <w:p>
      <w:r>
        <w:rPr>
          <w:b/>
        </w:rPr>
        <w:t>E. 2.3.2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3</w:t>
      </w:r>
    </w:p>
    <w:p>
      <w:r>
        <w:t>Im Folgenden werden die für die Beurteilung der Streitsache wesent­lichen Bestimmungen und von der Rechtsprechung dazu entwickelten Grundsätze dargestellt.</w:t>
      </w:r>
    </w:p>
    <w:p>
      <w:r>
        <w:rPr>
          <w:b/>
        </w:rPr>
        <w:t>E. 3.1</w:t>
      </w:r>
    </w:p>
    <w:p>
      <w:r>
        <w:t>Der Beschwerdeführer ist Staatsangehöriger von Deutschland und hat heute dort seinen Wohnsitz,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 entgegen der vom Beschwerde­führer zunächst vertretenen Auffassung -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2.3.2 hiervor; Urteil des EVG vom 11. Dezember 1981 i.S. D.; BGE 125 V 351 E. 3a).</w:t>
      </w:r>
    </w:p>
    <w:p>
      <w:r>
        <w:rPr>
          <w:b/>
        </w:rPr>
        <w:t>E. 3.2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3.2.1</w:t>
      </w:r>
    </w:p>
    <w:p>
      <w:r>
        <w:t>Vorliegend sind dies insbesondere das IVG in der Fassung vom 6. Oktober 2006 (5. IV-Revision; AS 2007 5129) und die Verordnung vom 17. Januar 1961 über die Invalidenversicherung (IVV, SR 831.201; in der entsprechenden Fassung der 5. IV-Revision), standen diese Erlasse doch sowohl im Zeitpunkt der Erstanmeldung (22. Januar 2009) als auch des frühestmöglichen Eintritts des Versicherungsfalles bzw. des Anspruch­beginns (hier: 7. Mai 2009, vgl. E. 5.2 hiernach) in Kraft. Noch keine An­wen­dung findet vorliegend das am 1. Januar 2012 in Kraft getretene erste Massnahmenpaket der 6. IV-Revision (IVG in der Fassung vom 18. März 2011 [AS 2011 5659]).</w:t>
      </w:r>
    </w:p>
    <w:p>
      <w:r>
        <w:rPr>
          <w:b/>
        </w:rPr>
        <w:t>E. 3.2.2</w:t>
      </w:r>
    </w:p>
    <w:p>
      <w:r>
        <w:t>Ferner sind das ATSG und die Verordnung vom 11. September 2002 über den Allgemeinen Teil des Sozialversicherungsrechts (ATSV, SR 830.11; in der entsprechenden Fassung der 5. IV-Revision)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bis Ende 2007 gültig gewesenen Fassung [Mindestbeitragsdauer 1 Jahr ] und der seit dem Inkrafttreten der 5. IV-Revision per 1. Januar 2008 geltenden Fassung [Mindestbeitragsdauer 3 Jahre]). Diese Bedingungen müssen kumulativ gegeben sein; fehlt eine, so entsteht kein Rentenanspruch, selbst wenn die andere erfüllt ist. Laut IK-Auszug vom 15. März 2010 hat der Beschwerdeführer in den Jahren 2005 bis 2007 während insgesamt 13 Monaten Beiträge an die AHV/IV geleistet (vgl. act. 6). Da vorliegend die seit dem 1. Januar 2008 geltenden Bestimmungen anzuwenden sind, erfüllt er die dreijährige gesetzliche Mindestbeitragsdauer mit den schweizerischen Versiche­rungs­zeiten nicht. Allerdings kann den Akten entnommen werden, dass er in Deutschland - und somit einem Mitgliedstaat der EU - in den Jahren 1969 bis 2008 während insgesamt 458 Monaten versichert gewesen ist (vgl. act. 11). Gemäss Art. 40 i.V.m. Art. 45 der Verordnung (EWG) Nr. 1408/71 ist diese Versicherungszeit für die Bestimmung der dreijährigen Mindestbeitragsdauer anzurechnen. Für den Fall, dass die dreijährige Mindestbeitragsdauer - wie vorliegend - durch Anrechnung von auslän­dischen Versicherungszeiten erfüllt wird, kann jedoch kein Anspruch auf eine ordentliche schweizerische IV-Rente entstehen, wenn die Bei­tragszeit in der Schweiz weniger als ein Jahr beträgt, was vorliegend nicht der Fall ist (vgl. Botschaft vom 22. Juni 2005 zur 5. IV-Revision, BBl 2005, S. 4536, Ziff. 1.6.1.7, sowie die Wegleitung über die Renten in der AHV/IV des Bundesamtes für Sozialversicherung (RWL), Stand 1. Januar 2012, S. 43).</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Auflage, Zürich [im Folgenden: Kieser, ATSG], Rz. 7 zu Art. 8): Ein medizinisches (Gesundheitsschaden mit Aus­wirkungen auf die Arbeitsfähigkeit) und ein wirtschaftliches im weiteren Sinn (dauerhafte oder länger dauernde Einschränkung der Erwerbs­fähigkeit oder der Tätigkeit im Aufgabenbereich).</w:t>
      </w:r>
    </w:p>
    <w:p>
      <w:r>
        <w:rPr>
          <w:b/>
        </w:rPr>
        <w:t>E. 4.1.1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29 Abs. 4 erster Satz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bei einem Invaliditätsgrad ab 40% eine ordentliche Rente ausgerichtet wird, auch wenn sie in einem Mitgliedstaat der EU Wohnsitz haben.</w:t>
      </w:r>
    </w:p>
    <w:p>
      <w:r>
        <w:rPr>
          <w:b/>
        </w:rPr>
        <w:t>E. 4.3</w:t>
      </w:r>
    </w:p>
    <w:p>
      <w:r>
        <w:t>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Weiter ist zu beachten, dass gemäss Art. 29 Abs. 1 IVG in der ab dem 1. Januar 2008 geltenden Fassung ein Rentenanspruch frühestens sechs Monate nach der Geltendmachung des Leistungsanspruchs entstehen kann.</w:t>
      </w:r>
    </w:p>
    <w:p>
      <w:r>
        <w:rPr>
          <w:b/>
        </w:rPr>
        <w:t>E. 4.4</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4.4.1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Beurteilungen als Bericht, Gutachten oder Stellungnahme (vgl. zum Ganzen: Urteile des Bundesgerichts [im Folgenden: BGer] 9C_323/2009 vom 14. Juli 2009 E. 4.3.1 und I 1094/06 vom 14. November 2007 E. 3.1.1, sowie BGE 125 V 351 E. 3a ff.).</w:t>
      </w:r>
    </w:p>
    <w:p>
      <w:r>
        <w:rPr>
          <w:b/>
        </w:rPr>
        <w:t>E. 4.4.2</w:t>
      </w:r>
    </w:p>
    <w:p>
      <w:r>
        <w:t>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BGer 9C_24/2008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BGer I 142/07 vom 20. November 2007 E. 32.3 ff. und I 362/06 vom 10. April 2007 E. 3.2.1, je mit Hinweisen).</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nach Art. 16 ATSG setzt dabei voraus, dass bei der Ermittlung der beiden Vergleichseinkommen gleich vorgegangen wird, dass also eine gleichartige Vergleichsbasis vorliegt (Gleichartigkeit der Vergleichseinkommen, vgl. Kieser, ATSG, Art. 16 Rz. 7).</w:t>
      </w:r>
    </w:p>
    <w:p>
      <w:r>
        <w:rPr>
          <w:b/>
        </w:rPr>
        <w:t>E. 4.5.1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4.5.2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4.5.3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des BGer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(vgl. BGE 110 V 277 E. 4b; Urteile des BGer I 817/05 vom 5. Februar 2007 E. 8.1 sowie U 262/02 vom 8. April 2003 E. 4.4).</w:t>
      </w:r>
    </w:p>
    <w:p>
      <w:r>
        <w:rPr>
          <w:b/>
        </w:rPr>
        <w:t>E. 5</w:t>
      </w:r>
    </w:p>
    <w:p>
      <w:r>
        <w:t>Im Folgenden ist in Würdigung der relevanten Unterlagen in erster Linie zu beurteilen, ob die Vorinstanz den rechtserheblichen Sachverhalt vollständig erhoben und korrekt gewürdigt und das Leistungsbegehren vom 22. Januar 2009 zu Recht mangels anspruchsbegründender Invali­dität abgewiesen hat.</w:t>
      </w:r>
    </w:p>
    <w:p>
      <w:r>
        <w:rPr>
          <w:b/>
        </w:rPr>
        <w:t>E. 5.1</w:t>
      </w:r>
    </w:p>
    <w:p>
      <w:r>
        <w:t>Die angefochtene Verfügung beruht im Wesentlichen auf der Stel­lungnahme des regionalen ärztlichen Dienstes Rhone (RAD; Dr. med. F._______, Fachärztin für innere Medizin) vom 24. September 2009. Die Ärztin stützte sich auf ein vom deutschen Sozial­versicherungsträger in Auftrag gegebenes orthopädisches Gutachten von Dr. med. S._______, Chirurg, vom 7. Mai 2009, drei ärztliche Berichte der behandelnden Ärztin des Beschwerdeführers (Dr. med. H._______, Fach­ärztin für Innere Medizin) aus der Zeit vom 6. Januar 2009 bis zum 28. April 2009 sowie zwei MRI der radiologischen Praxis Dr. K._______ vom 16. Januar 2009 und vom 30. Juni 2009 (vgl. act. 20 bis 25, 27 sowie 29).</w:t>
      </w:r>
    </w:p>
    <w:p>
      <w:r>
        <w:rPr>
          <w:b/>
        </w:rPr>
        <w:t>E. 5.2</w:t>
      </w:r>
    </w:p>
    <w:p>
      <w:r>
        <w:t>Dr. med. F._______, die sich bei ihrer Beurteilung insbesondere auf das Gutachten von Dr. med. S._______ vom 7. Mai 2009 stützte, stellte als Hauptdiagnosen mit Auswirkungen auf die Arbeits­fähigkeit einen Status nach einer Fraktur D7 und L1 sowie degenerative Veränderungen der Wirbelsäule (ICD-10 M54) fest. Des Weiteren attes­tierte sie dem Be­schwerdeführer als Nebendiagnosen ohne Auswir­kungen auf die Arbeits­fähigkeit eine chronische obstruktive Lungen­erkrankung (COPD), eine ge­ringgradige Coxarthrose, post­traumatische Gelenkschmerzen am rech­ten Knöchel infolge eines 1991 erlittenen Autounfalls, Adipositas sowie einen Status nach erfolgter Osteosynthese einer Clavikulafraktur links. Infolge ihrer Diagnosen erachtete sie den Beschwerdeführer in seiner angestammten Tätigkeit als Bauarbeiter seit dem 7. Mai 2009 für nicht mehr einsatzfähig. Leichte Verweisungstätigkeiten mit wechselnder Körper­haltung ohne Heben und Tragen schwerer Lasten (maximal 10 kg) seien dem Beschwerdeführer hingegen zu 100% zumutbar, sofern kauernde oder kniende Körperhaltungen sowie Drehen und Biegen des Rumpfes vermieden würden (vgl. act. 29). Aufgrund dieser Leistungs­beurteilung erachtete sie persönliche Dienstleistungen als Hausmeister oder als Museumswächter, Tätigkeiten im Grosshandel wie z.B. im Ver­kauf oder in der Lagerverwaltung, Tätigkeiten im Detailhandel wie z.B. Kleinreparaturen sowie einfache Tätigkeiten ohne erforderliche Qualifika­tionen wie etwa in der Archivierung oder bei der Datenerfassung/ Scannage als geeignet (vgl. act. 29).</w:t>
      </w:r>
    </w:p>
    <w:p>
      <w:r>
        <w:rPr>
          <w:b/>
        </w:rPr>
        <w:t>E. 5.2.1</w:t>
      </w:r>
    </w:p>
    <w:p>
      <w:r>
        <w:t>Dr. med. F._______ Beurteilung erfolgte im Wesentlichen in Übereinstimmung mit der Beurteilung von Dr. med. S._______, führt doch der deutsche Gutachter in seiner Stellungnahme aus, es zeige sich beim Beschwerdeführer ein Status nach einer LWK1-Fraktur infolge eines 1991 erlittenen Unfalls sowie einer BWK7-Fraktur infolge eines 2007 erlittenen Leitersturzes, wobei beide Frakturen konservativ behandelt worden seien. Eine erlittene Clavikulafraktur links sei operativ behandelt worden und habe keine schmerzhafte Funktionseinschränkung am linken Schulter­gürtel hinterlassen. Der Beschwerdeführer leide nun gemäss eigenen Angaben an belastungsabhängigen Schmerzen der Brust- und Lenden­wirbelsäule. Klinisch zeige sich kein eindeutiges sensomotorisches De­fizit. Muskuläre Dysbalancen seien nicht feststellbar. Aufgrund seiner Untersuchung diagnostizierte Dr. med. S._______ denn auch ein Thorako­lumbales Schmerzsyndrom bei degenerativen Veränderungen der Wirbel­säule und einen Zustand nach BWK7- sowie LWK1-Fraktur ohne klinisch eindeutige Nervenwurzelreizsymptomatik oder muskuläre Dysbalancen, eine beginnende Coxarthrose rechts ohne wesentliches Funktionsdefizit, Sprunggelenksbeschwerden rechts nach Trauma ohne Funktionsdefizit, eine COPD sowie eine Adipositas (vgl. act. 25 S. 6). Auch hinsichtlich der Leistungsbeurteilung vertritt Dr. med. F._______ im Wesentlichen die Ansicht von Dr. med. S._______, führt dieser doch im Gutachten vom 7. Mai 2009 aus, der Beschwerdeführer sei in der an­gestammten Tätigkeit nicht mehr wettbewerbsmässig einsetzbar, aller­dings seien ihm leichte bis mittelschwere Verweisungstätigkeiten am ehesten im Wechselrhythmus vorwiegend ebenerdig zumutbar, wobei Zwangs­haltungen wie Bücken, Vorhalten, Knien und tiefe Hocke, Ganz­körperschwingungen begrenzt gemieden werden sollten.</w:t>
      </w:r>
    </w:p>
    <w:p>
      <w:r>
        <w:rPr>
          <w:b/>
        </w:rPr>
        <w:t>E. 5.2.2</w:t>
      </w:r>
    </w:p>
    <w:p>
      <w:r>
        <w:t>Dr. med. S._______ verfasste das orthopädische Gutachten nach ein­gehender Beobachtung sowie persönlicher Untersuchung des Be­schwerde­führers und unter Berücksichtigung der relevanten medizini­schen Vorakten (Anamnese, vgl. act. 25 S. 5). Es ist für die streitigen Belange umfassend und die Beurteilung der medizinischen Situation ist aufgrund der Ausführungen im Gutachten schlüssig, nachvollziehbar und in sich widerspruchsfrei. Indizien gegen die Zuverlässigkeit des Gut­achtens sind aus den Akten nicht ersichtlich, zumal weder die Hausärztin Dr. med. H._______ noch die Ärzte der radiologischen Praxis Dr. K._______ zu anderen Feststellungen gelangten (vgl. act. 20 bis 25 sowie 27). Demnach ist vom Bundesverwaltungsgericht nicht zu bean­standen, dass sich Dr. med. F._______ bei der Beurteilung insbesondere auf das deutsche Fachgutachten stützte. In Abweisung des Antrags des Be­schwerde­führers ist daher auf die Einholung eines zusätzlichen Fach­gut­achtens zu verzichten (antizipierte Beweiswürdigung, E. 2.3.1 hier­vor).</w:t>
      </w:r>
    </w:p>
    <w:p>
      <w:r>
        <w:rPr>
          <w:b/>
        </w:rPr>
        <w:t>E. 5.2.3</w:t>
      </w:r>
    </w:p>
    <w:p>
      <w:r>
        <w:t>Es ist allerdings nicht zu übersehen, dass es sich beim Bericht von Dr. S._______ um ein monodisziplinäres Gutachten handelt, in welchem einzig die verschiedenen orthopädischen Leiden des Beschwerdeführers fach­ärztlich beurteilt worden sind. Die weiteren diagnostizierten, nicht ortho­pädischen Leiden wurden von Dr. med. F._______ allerdings zu Recht als Neben­diagnosen ohne Auswir­kungen auf die Arbeits­fähigkeit einge­stuft, wird doch die COPD Stadium III medikamentös behandelt (vgl. act. 25) und muss der Versicherte die festgestellte Adipositas - soweit sie aufgrund der ärztlichen Angaben über­haupt als belegt gelten kann (Körpergrösse 180 cm, Gewicht gemäss act. 25 92 kg, gemäss act. 20 bloss 82 kg) - nach ständiger Praxis durch eine im Rahmen der ihm obliegenden Schaden­min­de­rungspflicht als zu­mutbar zu betrachtende Gewichts­reduk­tion angehen (vgl. etwa das Urteil des BGer I 362/06 vom 10. April 2007 E. 3.3.1 und 4.2; ZAK 1984 S. 345). Unter diesen Umständen hat die Vor­instanz zu Recht auf die Einholung eines multidiszi­plinären Gut­achtens verzichtet.</w:t>
      </w:r>
    </w:p>
    <w:p>
      <w:r>
        <w:rPr>
          <w:b/>
        </w:rPr>
        <w:t>E. 5.2.4</w:t>
      </w:r>
    </w:p>
    <w:p>
      <w:r>
        <w:t>Der Beschwerdeführer unterlässt es, einlässlich auszuführen und durch ärztliche Stellungnahmen zu belegen, aus welchen Gründen ihm- wie behauptet - auch die Ausübung leichter Verweistätigkeiten nicht zumutbar sein soll. Er verweist lediglich auf den in den vorinstanzlichen Akten enthaltenen MRI-Bericht vom 30. Juni 2009 der Radiologischen Praxis Dr. K._______, der sich zur Leistungsfähigkeit des Beschwerde­führers in keiner Weise äussert. Dieser Bericht wurde ohnehin von der RAD-Ärztin bereits im Rahmen ihrer Stellungnahme vom 24. September 2009 berücksichtigt (vgl. act. 29). Neue medizinische Unterlagen, die allenfalls Zweifel an den Feststellungen der Ärzte zu begründen vermöchten, wurden nicht vorgelegt.</w:t>
      </w:r>
    </w:p>
    <w:p>
      <w:r>
        <w:rPr>
          <w:b/>
        </w:rPr>
        <w:t>E. 5.3</w:t>
      </w:r>
    </w:p>
    <w:p>
      <w:r>
        <w:t>Angesichts der übereinstimmenden, schlüssigen und nachvollzieh­baren Feststellungen der Ärzte ist mit überwiegender Wahrscheinlichkeit davon auszugehen, dass der Beschwerdeführer zwar in seiner ange­stammten Tätigkeit als Bauarbeiter nicht mehr arbeiten kann, in leichten, seinen Leiden angepassten Verweisungstätigkeiten hingegen zu 100% arbeitsfähig ist.</w:t>
      </w:r>
    </w:p>
    <w:p>
      <w:r>
        <w:rPr>
          <w:b/>
        </w:rPr>
        <w:t>E. 6</w:t>
      </w:r>
    </w:p>
    <w:p>
      <w:r>
        <w:t>Vor diesem Hintergrund sind die erwerblichen Auswirkungen der festge­stellten gesundheitlichen Beeinträchtigungen anhand eines Einkommens­vergleichs zu prüfen (vgl. E. 4.5 ff. hiervor).</w:t>
      </w:r>
    </w:p>
    <w:p>
      <w:r>
        <w:rPr>
          <w:b/>
        </w:rPr>
        <w:t>E. 6.1</w:t>
      </w:r>
    </w:p>
    <w:p>
      <w:r>
        <w:t>Aus den Akten ergibt sich, dass der Beschwerdeführer bei der öster­reichischen Firma O._______ GmbH, unter Vertrag stand und zuletzt an die Firma I._______ als Bauarbeiter vermittelt worden war, wo er einen Bruttostundenlohn von EUR 10.30 erzielte. Allerdings handelte es sich dabei lediglich um eine temporäre Anstellung, dauerte doch sein Einsatz gemäss den Angaben im vom Beschwerdeführer ausgefüllten Fragebogen für den Arbeitgeber nur vom 15. September 2008 bis zum 6. Dezember 2008. Ab dem 6. Dezember 2008 war der Beschwerdeführer arbeitslos (vgl. act. 18 und 19). Aus den Akten ist zudem nicht ersichtlich, dass der Beschwerde­führer zuvor in einem langdauernden Arbeitsverhältnis gestanden hätte. Zudem ist es gerichtsnotorisch, dass bei Anstellungen durch Personal­vermittlungsfirmen in der Regel variierende Einkommen erzielt werden (vgl. zu temporären Arbeitsverträgen die Urteile des BGer 9C_177/2007 vom 10. Juli 2007 E. 3.2 sowie I 598/02 vom 27. August 2003). Vorliegend ist daher davon auszugehen, dass der Beschwerdeführer in seiner bisherigen beruflichen Tätigkeit in der letzten Zeit kein regel­mässiges Einkommen erzielt hat. Unter diesen Umständen ist nicht zu beanstanden, dass die Vorinstanz für die Ermittlung des Validenein­kommens des in Deutschland wohnhaften Beschwerdeführers auf die vom Bureau International du Travail (BIT) ermittelten statistischen Werte des deutschen Arbeitsmarktes für das Jahr 2008 abgestellt hat (abrufbar unter http://laborsta.ilo.org, zuletzt besucht am 31. August 2012) und bei einem für qualifizierte Maurer ausgewiesenen Stundenlohn von EUR 15.48 und einer im Jahre 2008 durchschnittlichen Wochenarbeitszeit von 40 Stunden ein Monatssalär von EUR 2'683.20 ermittelt hat (15.48 x 40 x 52 : 12, vgl. act. 31).</w:t>
      </w:r>
    </w:p>
    <w:p>
      <w:r>
        <w:rPr>
          <w:b/>
        </w:rPr>
        <w:t>E. 6.2</w:t>
      </w:r>
    </w:p>
    <w:p>
      <w:r>
        <w:t>Auch zur Ermittlung des Invalideneinkommens hat die Vorinstanz auf die Tabellenlöhne des BIT abgestellt, so dass sich die Vergleichsein­kommen anforderungsgemäss auf denselben Arbeitsmarkt stützen (vgl. E. 4.5.3 hiervor). Die zur Ermittlung des Invalideneinkommens von der Vorinstanz herangezogenen durchwegs leichten Verweisungstätigkeiten tragen den Leistungseinschränkungen des Beschwerdeführers genügend Rechnung, so dass am ermittelten durchschnittlichen Einkommen von EUR 2'127.48 nichts auszusetzen ist, zumal die Vorinstanz zugunsten des Beschwerdeführers das deutlich über dem eines Bauarbeiters liegende Einkommen eines Telefonisten nicht berücksichtigt hat (vgl. act. 31). Unter Berücksichtigung eines - nicht zu beanstandenden - leidens­beding­ten Abzuges von 15% beträgt damit das Invalidenein­kommen EUR 1'808.36.</w:t>
      </w:r>
    </w:p>
    <w:p>
      <w:r>
        <w:rPr>
          <w:b/>
        </w:rPr>
        <w:t>E. 6.3</w:t>
      </w:r>
    </w:p>
    <w:p>
      <w:r>
        <w:t>Vergleicht man das Valideneinkommen mit dem Invalideneinkommen, ergibt sich eine Erwerbseinbusse von 32.6% ([{2'683.20 - 1'808.36} x 100] : 2'683.20 = 32.6), was aufgerundet einem rentenausschliessenden Invaliditätsgrad von 33% entspricht.</w:t>
      </w:r>
    </w:p>
    <w:p>
      <w:r>
        <w:rPr>
          <w:b/>
        </w:rPr>
        <w:t>E. 6.4</w:t>
      </w:r>
    </w:p>
    <w:p>
      <w:r>
        <w:t>Zusammenfassend ist somit festzuhalten, dass die Vorinstanz das Leistungsbegehren des Beschwerdeführers zu Recht abgewiesen hat, weshalb die Beschwerde gegen die Verfügung vom 27. November 2009 abzuweisen ist.</w:t>
      </w:r>
    </w:p>
    <w:p>
      <w:r>
        <w:rPr>
          <w:b/>
        </w:rPr>
        <w:t>E. 7</w:t>
      </w:r>
    </w:p>
    <w:p>
      <w:r>
        <w:t>Zu befinden bleibt noch über die Verfahrenskosten und eine allfällige Parteientschädigung.</w:t>
      </w:r>
    </w:p>
    <w:p>
      <w:r>
        <w:rPr>
          <w:b/>
        </w:rPr>
        <w:t>E. 7.1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