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C-8002/2009 vom 13. September 2010</w:t>
      </w:r>
    </w:p>
    <w:p>
      <w:r>
        <w:t>Bundesverwaltungsgericht, 2010-09-13, IT</w:t>
      </w:r>
    </w:p>
    <w:p>
      <w:r>
        <w:rPr>
          <w:b/>
        </w:rPr>
        <w:t xml:space="preserve">Quelle: </w:t>
      </w:r>
      <w:r>
        <w:t>https://mcp.opencaselaw.ch/entscheid/bvger_C-8002_2009</w:t>
      </w:r>
    </w:p>
    <w:p>
      <w:r>
        <w:t>FR: TAF C-8002/2009 du 13 septembre 2010</w:t>
      </w:r>
    </w:p>
    <w:p>
      <w:r>
        <w:t>IT: TAF C-8002/2009 del 13 settembre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La ricorrente ha versato, entro il termine impartito, un anticipo di Fr. 300.-, corrispondente alle presunte spese processuali.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Il periodo di cognizione giudiziaria dello scrivente Tribunale amministrativo federale si estende fino al 2 dicembre 2009, data dell'impugnata decisione. Il giudice delle assicurazioni sociali analizza, infatti, la legalità della decisione impugnata, in generale, secondo lo stato di fatto esistente al momento in cui la decisione in lite è stata resa (DTF 130 V citata).</w:t>
      </w:r>
    </w:p>
    <w:p>
      <w:r>
        <w:rPr>
          <w:b/>
        </w:rPr>
        <w:t>E. 5</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tre anni. Pertanto, l'interessata adempie la condizione della durata minima di contribuzione, alla quale la legge subordina l'erogazione di una rendita. Rimane ora da esaminare se sia invalida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6.5</w:t>
      </w:r>
    </w:p>
    <w:p>
      <w:r>
        <w:t>Per gli art. 5 LAI ed 8 cpv. 3 LPGA gli assicurati maggiorenni che prima di subire un danno alla salute fisica o psichica non esercitavano un'attività lucrativa e dai quali non si può esigere che l'esercitino sono considerati invalidi se tale danno impedisce loro di svolgere le proprie mansioni consuete.</w:t>
      </w:r>
    </w:p>
    <w:p>
      <w:r>
        <w:rPr>
          <w:b/>
        </w:rPr>
        <w:t>E. 7.1</w:t>
      </w:r>
    </w:p>
    <w:p>
      <w:r>
        <w:t>Dopo il rimpatrio, l'interessata non ha più svolto attività lucrativa e si è dedicata ai lavori della propria economia domestica, composta da due persone in una casa di 4 locali.</w:t>
      </w:r>
    </w:p>
    <w:p>
      <w:r>
        <w:rPr>
          <w:b/>
        </w:rPr>
        <w:t>E. 7.2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La documentazione medica costituisce un importante elemento di giudizio per determinare quali lavori siano ancora ragionevolmente esigibili dall'assicurato, ma non spetta al medico graduare l'invalidità dell'assicurato (DTF 114 V 314).</w:t>
      </w:r>
    </w:p>
    <w:p>
      <w:r>
        <w:rPr>
          <w:b/>
        </w:rPr>
        <w:t>E. 7.3</w:t>
      </w:r>
    </w:p>
    <w:p>
      <w:r>
        <w:t>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28a cpv. 2 LAI). L'art. 27 dell'ordinanza del 17 gennaio 1961 sull'assicurazione per l'invalidità (OAI, RS 831.201) precisa che per mansioni consuete di una persona senza attività lucrativa occupata nell'economia domestica s'intendono gli usuali lavori domestici, l'educazione dei figli nonché le attività artistiche e di pubblica utilità (metodo specifico).</w:t>
      </w:r>
    </w:p>
    <w:p>
      <w:r>
        <w:rPr>
          <w:b/>
        </w:rPr>
        <w:t>E. 8</w:t>
      </w:r>
    </w:p>
    <w:p>
      <w:r>
        <w:t>Nel caso in esame è stata evidenziata la diagnosi di oftalmoplegia con deficit campimetrico in ambedue gli occhi, incontinenza urinaria e diabete mellito non insulinodipendente in soggetto portatore di una miopatia mitocondriale ed ipertensione arteriosa (cfr. perizia media del 28 maggio 2009, E 213, doc. 26 ed estratti di cartelle cliniche).</w:t>
      </w:r>
    </w:p>
    <w:p>
      <w:r>
        <w:rPr>
          <w:b/>
        </w:rPr>
        <w:t>E. 9.1</w:t>
      </w:r>
    </w:p>
    <w:p>
      <w:r>
        <w:t>Per quanto concerne le conseguenze invalidanti delle menzionate affezioni, il medico dell'INPS pone un tasso d'invalidità dell'80% ed annota comunque che la paziente sarebbe migliorata rispetto ad una precedente visita presso tale istituto. Egli ritiene l'assicurata abile a lavori leggeri (E 213 cifra 9) in ambienti idonei (assenza di gas, vapori, polveri). Dal canto suo, il Dott. Milnersic, dell'UAIE, considera l'assicurata del tutto in grado di svolgere le sue consuete faccende domestiche.</w:t>
      </w:r>
    </w:p>
    <w:p>
      <w:r>
        <w:rPr>
          <w:b/>
        </w:rPr>
        <w:t>E. 9.2</w:t>
      </w:r>
    </w:p>
    <w:p>
      <w:r>
        <w:t>La principale patologia che affligge la ricorrente consiste nella miopatia mitocondriale. Certo, la diagnosi in quanto tale può apparire, sotto certi aspetti, grave. In realtà, trattasi, nella specie, di una patologia a lenta evoluzione, probabilmente già presente da molti anni, ma la cui diagnosi è stata ufficialmente posta nel corso della degenza ospedaliera del febbraio 2005 come "sospetta" miopatia mitocondriale e più sicuramente nel corso del successivo ricovero del maggio 2006. L'attuale patologia non si manifesta in modo marcato ed invalidante. Tutti gli esami necessari sono stati eseguiti nel corso dei tre ricoveri. La paziente veniva ricoverata nel febbraio 2005 per una ptosi palpebrale (abbassamento eccessivo della palpebra superiore), ma veniva dimessa in buone condizioni generali. Il ricovero del 2006 è da imputare agli stessi motivi in un contesto di miopatia mitocondriale. Nel 2008, l'interessata veniva ricoverata per la comparsa di una massa pulsante a livello del collo. Ora, alla dimissione si presentava una paziente in buone condizioni generali. Tutte le consulenze specialistiche menzionate nella cartella clinica sono risultate di scarso rilievo patologico: segnatamente gli esami ematochimici hanno posto in evidenza un lieve diabete non necessitante di cura insulinica; gli esami cardiologici hanno rivelato la presenza di un trascurabile rigurgito mitralico e tricuspidalico; l'esame pneumologico ha evidenziato solo una lieve riduzione delle pressioni massimali; l'elettromiografia ha lasciato trasparire un rallentamento della velocità di conduzione nervosa del nervo mediano destro; l'accertamento strumentale ha potuto escludere l'esistenza di una polineuropatia, ma ha posto in evidenza solo una lieve sindrome del tunnel carpale a destra. La consulenza oculista ha potuto stabilire l'esistenza di una asimmetria interoculare, peraltro esistente da tempo: comunque all'occhio destro l'interessata conserva una buona vista di 6/10 e all'occhio sinistro di 5/10. La ptosi palpebrale permane bilateralmente, ma è priva di incidenza valetudinaria negativa; oltretutto si esclude l'intervento chirurgico correttivo che potrebbe aggravare la situazione attuale lasciando spazio ad infezioni opportunistiche. L'ecodoppler carotideo ha evidenziato una pervietà delle carotidi destra comune ed esterna ed un ispessimento di quella interna (destra); a sinistra si nota una pervietà dell'arteria carotide comune e di quella esterna ed un ispessimento di quella interna. Comunque il flusso ematico è regolare. La risonanza magnetica del cranio non ha posto in evidenza patologie in atto. Altri diversi e numerosi esami sono nella normalità (cfr. soprattutto la cartella clinica del settembre/ottobre 2008, doc. 23). Dunque, nonostante la diagnosi, le espressioni cliniche della affezione in esame sono poco significative e, praticamente, non invalidanti. La paziente può accusare periodi di stanchezza, spossatezza, come pure un senso di pulsazione oculare, ma questi disturbi non causano un'incapacità al lavoro nell'ambito delle incombenze domestiche. Va aggiunto, a proposito della diagnosi, che questa potrebbe sembrare severa, ma l'assicurazione svizzera per l'invalidità non indennizza una determinata malattia in quanto tale, ma piuttosto le ripercussioni che la stessa può avere sulla capacità di lavoro e di guadagno (o di attendere alle usuali faccende domestiche) residua. Per il resto, l'assicurata soffre di un banale diabete che nemmeno richiede un trattamento insulinico, un'incontinenza urinaria moderata ed una leggera ipoacusia percettiva bilaterale, affezioni queste prive di significato invalidante. L'ipertensione è sotto controllo farmaceutico.</w:t>
      </w:r>
    </w:p>
    <w:p>
      <w:r>
        <w:rPr>
          <w:b/>
        </w:rPr>
        <w:t>E. 9.3</w:t>
      </w:r>
    </w:p>
    <w:p>
      <w:r>
        <w:t>Il collegio non ha pertanto alcun motivo di scostarsi dal convincente parere del medico dell'UAIE, fondato sul corretto apprezzamento del caso concreto e sull'attento esame della documentazione clinica ad atti. Trattasi infatti di osservazioni cliniche da cui si possono derivare utili oggettivi e persuasivi elementi di giudizio atti a dimostrare che, nonostante le affezioni di cui è portatrice, A._______, entro la data della decisione in esame, sarebbe stata in grado di attendere alle sue usuali faccende domestiche in modo tale da escludere un'invalidità di rilievo. Va ricordato che, secondo la giurisprudenza, una casalinga invalida deve organizzarsi in modo tale da ridurre gli effetti del proprio impedimento, adottando le misure che prenderebbe una persona ragionevole nella sua stessa situazione, per potere sbrigare le faccende domestiche nel modo più completo e indipendente possibile. Se una casalinga invalida può svolgere certi lavori solamente con fatica e impiegando molto più tempo del solito, deve rivolgersi ai propri familiari, affinché l'aiutino nel limite del possibile (DTF 133 V 504). In queste circostanze il ricorso deve essere respinto e l'impugnata decisione confermata.</w:t>
      </w:r>
    </w:p>
    <w:p>
      <w:r>
        <w:rPr>
          <w:b/>
        </w:rPr>
        <w:t>E. 10.1</w:t>
      </w:r>
    </w:p>
    <w:p>
      <w:r>
        <w:t>Le spese processuali, ammontanti a Fr. 300.-, sono addossate alla ricorrente e vengono compensate con l'anticipo fornito.</w:t>
      </w:r>
    </w:p>
    <w:p>
      <w:r>
        <w:rPr>
          <w:b/>
        </w:rPr>
        <w:t>E. 10.2</w:t>
      </w:r>
    </w:p>
    <w:p>
      <w:r>
        <w:t>Visto l'esito del ricorso, non si assegnano indennità per spese ripetibili alla parte soccombente. Per quel che concerne l'UAIE, le autorità federali non hanno diritto ad un'indennità a titolo di ripetibili (art. 7 cpv. 3 del regolamento del 21 febbraio 2008 sulle tasse e sulle spese ripetibili nelle cause dinanzi il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