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C-8000/2007 vom 29. Januar 2010</w:t>
      </w:r>
    </w:p>
    <w:p>
      <w:r>
        <w:t>Bundesverwaltungsgericht, 2010-01-29, IT</w:t>
      </w:r>
    </w:p>
    <w:p>
      <w:r>
        <w:rPr>
          <w:b/>
        </w:rPr>
        <w:t xml:space="preserve">Quelle: </w:t>
      </w:r>
      <w:r>
        <w:t>https://mcp.opencaselaw.ch/entscheid/bvger_C-8000_2007</w:t>
      </w:r>
    </w:p>
    <w:p>
      <w:r>
        <w:t>FR: TAF C-8000/2007 du 29 janvier 2010</w:t>
      </w:r>
    </w:p>
    <w:p>
      <w:r>
        <w:t>IT: TAF C-8000/2007 del 29 gennaio 2010</w:t>
      </w:r>
    </w:p>
    <w:p>
      <w:pPr>
        <w:pStyle w:val="Heading2"/>
      </w:pPr>
      <w:r>
        <w:t>Regeste</w:t>
      </w:r>
    </w:p>
    <w:p>
      <w:r>
        <w:t>Assicurazione per l'invalidità (altro)</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benché la decisione impugnata sia stata spedita il 17 luglio 2007, secondo il foglio d'inchiesta della Posta svizzera agli atti (documento non numerato), e il ricorso sia stato inoltrato solamente il 14 novembre 2007, esso deve essere considerato tempestivo, nella misura in cui la ricorrente ha affermato che la decisione dell'UAIE le è stata notificata nel mese antecedente al ricorso e che l'UAIE non ha potuto provare la data esatta della notifica. Così, considerato tempestivo e rispettoso degli altri requisiti previsti dalla legge (art. 59 e 60 LPGA, nonché l'art. 52 cpv. 1 PA), e visto che l'anticipo di Fr. 300.- relativo alle spese processuali è stato versato nel termine impartito, il ricorso deve essere dichiarato, su questo punto, ammissibile.</w:t>
      </w:r>
    </w:p>
    <w:p>
      <w:r>
        <w:rPr>
          <w:b/>
        </w:rPr>
        <w:t>E. 2</w:t>
      </w:r>
    </w:p>
    <w:p>
      <w:r>
        <w:t>La ricorrente sostiene che l'UAI-BE non era competente ad istruire il caso, argomentando che "doveva essere adottata un'altra procedura per poter stabilire un eventuale diritto alla prestazione d'invalidità, tramite l'UAIE". Secondo l'art. 40 cpv. 1 dell'Ordinanza federale sull'assicurazione invalidità del 17 gennaio 1961 (OAI, RS 831.201), per la ricezione e l'esame delle richieste è competente (a) l'ufficio AI nel cui campo d'attività gli assicurati hanno il loro domicilio, (b) l'UAIE, se gli assicurati sono domiciliati all'estero, salvo nel caso dei frontalieri (cpv. 2). Conformemente al cpv. 3, l'ufficio AI competente al momento della registrazione della domanda lo rimane durante tutta la procedura. In concreto, l'inoltro della terza domanda tendente ad ottenere una rendita d'invalidità svizzera ha avuto luogo il 28 aprile 2003, quando la ricorrente, titolare di un permesso di dimora C, era ancora domiciliata a Bienne, nel canton Berna (doc. 63). Stando così le cose, l'UAI-BE era competente ad eseguire l'istruzione del caso e pure ad emanare la decisione oggetto del presente ricorso (art. 40 cpv. 3 OAI). Il fatto che sia stato invece l'UAIE a rendere questa decisione, non implica comunque la nullità della stessa, nella misura in cui, seguendo la giurisprudenza del Tribunale federale, il rinvio dell'incarto all'UAI-BE, per l'emissione di una nuova decisione impugnabile, costituirebbe una misura di puro formalismo, senza vantaggi per l'assicurata e in contraddizione con il principio dell'economia di procedura (sentenza V. del Tribunale federale del 5 febbraio 2007, I 817/05 e riferimenti citati). Ne consegue che, il ricorso essendo ammissibile, questo Tribunale può entrare, di seguito, nel merito della causa.</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4</w:t>
      </w:r>
    </w:p>
    <w:p>
      <w:r>
        <w:t>Ai fini del presente giudizio occorre preliminarmente precisare, con particolare riferimento al diritto materiale, che, dal profilo temporale, non trovano applicazione le modifiche della LAI del 6 ottobre 2006, entrate in vigore il 1° gennaio 2008 (5a revisione della LAI). Di seguito, quindi, vengono citate le disposizioni della LAI e della LPGA nel tenore in vigore fino al 31 dicembre 2007.</w:t>
      </w:r>
    </w:p>
    <w:p>
      <w:r>
        <w:rPr>
          <w:b/>
        </w:rPr>
        <w:t>E. 5</w:t>
      </w:r>
    </w:p>
    <w:p>
      <w:r>
        <w:t>La ricorrente ha contestato la validità materiale della decisione dell'UAIE, chiedendo che le sia riconosciuto il diritto ad una rendita intera d'invalidità.</w:t>
      </w:r>
    </w:p>
    <w:p>
      <w:r>
        <w:rPr>
          <w:b/>
        </w:rPr>
        <w:t>E. 6</w:t>
      </w:r>
    </w:p>
    <w:p>
      <w:r>
        <w:t>Secondo l'art. 2 LPGA, le disposizioni della presente legge sono applicabili alle assicurazioni sociali disciplinate dalla legislazione federale, se e per quanto le singole leggi sulle assicurazioni sociali lo prevedano. In deroga all'art. 24 LPGA, l'art. 48 cpv. 2 LAI, nel suo tenore in vigore fino al 31 dicembre 2007, precisa che, se l'assicurato si annuncia più di dodici mesi dopo la nascita del diritto, le prestazioni possono essere assegnate soltanto per i dodici mesi precedenti la richiesta. In concreto, la ricorrente ha presentato la domanda di rendita il 29 aprile 2003. Questo Tribunale può quindi limitarsi ad esaminare se la ricorrente abbia diritto ad una rendita il 29 aprile 2002 (ossia dodici mesi precedenti la presentazione della domanda), oppure se un diritto alla rendita sia sorto tra tale data e il 16 luglio 2007, data della decisione dell'UAIE. Il giudice delle assicurazioni sociali analizza, infatti, la legalità della decisione impugnata, in generale, secondo lo stato di fatto esistente al momento in cui la decisione in lite è stata resa (DTF 130 V 445 consid. 1.2 e 1.2.1).</w:t>
      </w:r>
    </w:p>
    <w:p>
      <w:r>
        <w:rPr>
          <w:b/>
        </w:rPr>
        <w:t>E. 7</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durante un anno intero almeno (art. 36 LAI). In concreto, è pacifico che la ricorrente ha versato contributi all'AVS/AI svizzera durante almeno un anno e, pertanto, adempie la condizione della durata minima di contribuzione, alla quale la legge subordina l'erogazione di una rendita. Rimane ora da esaminare se sia invalida ai sensi di legge.</w:t>
      </w:r>
    </w:p>
    <w:p>
      <w:r>
        <w:rPr>
          <w:b/>
        </w:rPr>
        <w:t>E. 8.1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8.5</w:t>
      </w:r>
    </w:p>
    <w:p>
      <w:r>
        <w:t>La nozione d'invalidità di cui all'art. 4 LAI e 8 LPGA è di carattere giuridico economico, non medico (DTF 116 V 249 consid. 1b).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8.6</w:t>
      </w:r>
    </w:p>
    <w:p>
      <w:r>
        <w:t>Occorre precisare che l'invalidità dell'assicurato che non esercita un'attività lucrativa, ma svolge le proprie mansioni consuete, e dal quale non si può ragionevolmente esigere che intraprenda un'attività lucrativa, è determinata, in deroga all'art. 16 LPGA, in funzione dell'incapacità di svolgere le proprie mansioni consuete (art. 5 e 28 cpv. 2bis LAI e art. 8 cpv. 3 LPGA; metodo specifico). L'art. 27 OAI precisa che, per mansioni consuete di una persona senza attività lucrativa occupata nell'economia domestica, s'intendono gli usuali lavori domestici, l'educazione dei figli nonché le attività artistiche e di pubblica utilità. Peraltro, l'invalidità degli assicurati che esercitano solo parzialmente un'attività lucrativa e per il resto sono dediti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Tribunale federale 9C_35/2007 del 4 aprile 2008 consid. 2, I 503/04 del 13 settembre 2006 consid. 2, nonché in particolare I 382/04 del 18 ottobre 2005 consid. 2 e I 540/02 del 12 maggio 2004 consid. 2).</w:t>
      </w:r>
    </w:p>
    <w:p>
      <w:r>
        <w:rPr>
          <w:b/>
        </w:rPr>
        <w:t>E. 8.7</w:t>
      </w:r>
    </w:p>
    <w:p>
      <w:r>
        <w:t>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dell'assicurato viene determinato valutando se lo stesso, da sano,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dove tale eventualità si presenti alla luce della situazione personale, familiare, sociale ed economica, con un grado di verosimiglianza preponderante (DTF 125 V 150 consid. 2c, 117 V 194 consid. 3b).</w:t>
      </w:r>
    </w:p>
    <w:p>
      <w:r>
        <w:rPr>
          <w:b/>
        </w:rPr>
        <w:t>E. 8.8</w:t>
      </w:r>
    </w:p>
    <w:p>
      <w:r>
        <w:t>In concreto, dall'incarto risulta che la ricorrente ha smesso di lavorare in Svizzera nel 1993 e che, da allora, non ha più svolto nessuna attività lucrativa, ma che avrebbe continuato ad esercitare, se il suo stato di salute glielo avesse permesso, l'attività d'operaia al 50% per ragioni economiche (doc. 46). Di conseguenza, appare giustificato applicare, per calcolare il grado d'invalidità, il metodo misto, ponderando l'invalidità nell'esercizio delle faccende domestiche e in quello dell'attività d'operaia, come peraltro correttamente ammesso dall'UAI-BE.</w:t>
      </w:r>
    </w:p>
    <w:p>
      <w:r>
        <w:rPr>
          <w:b/>
        </w:rPr>
        <w:t>E. 8.9</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10.1</w:t>
      </w:r>
    </w:p>
    <w:p>
      <w:r>
        <w:t>In concreto, dall'insieme della documentazione medica agli atti e, in particolare, dalla perizia pluridisciplinare del SAM, del 16 ottobre 2006 (doc. 59), risulta la diagnosi, esplicante un'influenza sulla capacità lavorativa, di sindrome lombovertebrale con componente spondilogena a livello della gamba destra su alterazioni osteocondrotiche L5-S1, con spondilosi anteriore e posteriore a questo segmento, in stato dopo microdiscectomia L5-S1 a destra, e di diabete mellito di tipo 2, noto dal 1996, insulinodipendente dal 2002, con retinopatia diabetica a proliferazione incipiente, polineuropatia periferica sintomatica e nefropatia sotto ACE-inibitore. Visto il carattere univoco di questa diagnosi, il collegio giudicante non intravede nessun motivo per discostarsene.</w:t>
      </w:r>
    </w:p>
    <w:p>
      <w:r>
        <w:rPr>
          <w:b/>
        </w:rPr>
        <w:t>E. 10.2</w:t>
      </w:r>
    </w:p>
    <w:p>
      <w:r>
        <w:t>Per costante giurisprudenza, le affezioni appena menzionate sono di carattere labile, ossia suscettibili di migliorare o di peggiorare. Così, nell'assenza di uno stato di salute sufficientemente stabilizzato, è inapplicabile l'art. 29 cpv. 1 let. a LAI, per cui può entrare in considerazione solo la lettera b della citata norma legale, la quale prevede un termine di attesa di un anno. Pertanto, la ricorrente potrebbe pretendere una rendita dell'assicurazione svizzera per l'invalidità solo a partire dal momento in cui ha subito, senza interruzione notevole, un'incapacità lavorativa di almeno il 40% durante almeno un anno.</w:t>
      </w:r>
    </w:p>
    <w:p>
      <w:r>
        <w:rPr>
          <w:b/>
        </w:rPr>
        <w:t>E. 11.1</w:t>
      </w:r>
    </w:p>
    <w:p>
      <w:r>
        <w:t>Nella propria perizia il SAM ha fissato una capacità lavorativa del 70%, dal 1° maggio 2003, sia per l'attività d'operaia, sia per quella di casalinga, ed ha precisato che la ricorrente può eseguire lavori che non richiedono delle flessioni ripetute della colonna lombare, non implicano il sollevamento di pesi superiori a 7.5 - 10 kg, e permettono di alternare la posizione seduta, eretta e la deambulazione, evitando nel limite del possibile movimenti di rotazione con la testa e posizioni statiche prolungate. Dal punto di vista psichiatrico, secondo la perizia del SAM, non si constatano alterazioni della forma e del contenuto del pensiero, né alterazioni della percezione sensoria, il tono dell'umore è eutimico e la quota ansiosa risulta nella norma, la ricorrente presentando una personalità semplice senza particolari disturbi di natura psichica, per cui non sussistono elementi che giustifichino un'incapacità lavorativa in questo senso. Dal lato reumatologico, la perizia del SAM riferisce una mobilità del rachide lombare leggermente ridotta, senza segni compressivi o irritativi radicolari, la ricorrente potendo lavorare al massimo in ragione del 20-30% come casalinga e del 30% quale operaia. Per quanto riguarda la patologia cardiaca, la perizia del SAM rileva che non si giustifica un'incapacità lavorativa per le professioni precedentemente svolte con impegno fisico leggero o moderato, mentre la cardiopatia ipertensiva con fibrillazione atriale cronica rappresenta un fattore limitante per attività professionali con impegno fisico pesante. Dal consulto diabetologico del SAM risulta che il diabete mellito della ricorrente presenta da anni una situazione metabolica completamente scompensata, ciò che potrebbe essere causato da una massiccia resistenza all'insulina, oltre che da possibili problemi di compliance, con un'incapacità lavorativa del 20-25%, dovuta all'astenia causata dall'iperglicemia cronica.</w:t>
      </w:r>
    </w:p>
    <w:p>
      <w:r>
        <w:rPr>
          <w:b/>
        </w:rPr>
        <w:t>E. 11.2</w:t>
      </w:r>
    </w:p>
    <w:p>
      <w:r>
        <w:t>La valutazione appena esposta non è contraddetta da nessun altro referto medico agli atti, ed il rapporto della dott.ssa O._______ , del 13 dicembre 2007, come pure il verbale di visita medico-collegiale, del luglio 2006, prodotti dalla ricorrente in questa sede, non sono suscettibili, considerate la loro natura e la loro brevità, di scardinarne la fondatezza. Il collegio giudicante può quindi ritenere che la capacità lavorativa della ricorrente, per un'attività d'operaia medio-leggera e per quella di casalinga, è limitata nella misura del 30% e non del 50% come considerato dall'autorità inferiore.</w:t>
      </w:r>
    </w:p>
    <w:p>
      <w:r>
        <w:rPr>
          <w:b/>
        </w:rPr>
        <w:t>E. 12.1</w:t>
      </w:r>
    </w:p>
    <w:p>
      <w:r>
        <w:t>L'UAI-BE ha calcolato il grado d'invalidità secondo il metodo misto, con rapporto del 16 maggio 2007 (doc. 60), che ha confermato e completato quello del 30 gennaio 2004 (doc. 46), tenendo conto, conformemente ai dati dell'UFS, Tabella TA 1, livello 4, per il 2004, indicizzati al 2005, di un salario da valida, a metà tempo, di Fr. 24'560.- e da invalida, dopo riduzione del 10% per ragioni personali, di Fr. 22'104, per cui risulta una perdita di guadagno di Fr. 2'456.-, equivalente ad un grado d'invalidità del 10%. Nel detto rapporto è pure quantificata un'incapacità lavorativa del 26% nell'esecuzione dei compiti domestici. Fondandosi su questi dati, l'UAI-BE ha quindi stabilito un grado d'invalidità del 18%.</w:t>
      </w:r>
    </w:p>
    <w:p>
      <w:r>
        <w:rPr>
          <w:b/>
        </w:rPr>
        <w:t>E. 12.2</w:t>
      </w:r>
    </w:p>
    <w:p>
      <w:r>
        <w:t>Ora, viste le conclusioni chiare della perizia del SAM relative alla capacità lavorativa, questo Tribunale non può condividere la valutazione effettuata dall'UAI-BE che considera la ricorrente in grado di esercitare l'attività d'operaia nella misura del 50%, tenendo conto per il resto solo di una riduzione per circostanze personali del 10%. Infatti, come rilevato considerando 11, l'incapacità lavorativa nell'attività d'operaia deve essere fissata al 30%, il salario ipotetico che la ricorrente avrebbe potuto percepire, dopo l'insorgere dell'invalidità, ammonta a quindi a Fr. 17'192.- [24'560 x 70/100], con una conseguente perdita di guadagno di Fr. 7'368.- [24'560 - 17'192], corrispondente ad un grado d'invalidità del 30%. Dall'altro canto, sulla base delle risultanze dell'inchiesta domiciliare, sovrapponibili a quelle della documentazione medica, l'incapacità lavorativa nell'attività di casalinga può essere valutata al 26%.</w:t>
      </w:r>
    </w:p>
    <w:p>
      <w:r>
        <w:rPr>
          <w:b/>
        </w:rPr>
        <w:t>E. 12.3</w:t>
      </w:r>
    </w:p>
    <w:p>
      <w:r>
        <w:t>Pertanto, il grado d'invalidità, tenuto conto, secondo il metodo misto, della parte relativa all'attività d'operaia, pari al 50% e con un impedimento del 30%, e di quella relativa all'economia domestica, nella misura residua del 50% e con un impedimento del 26%, è pari al 28% [(30 + 26) / 2]. Ne consegue che il grado d'invalidità è inferiore al 40%, per cui non sussiste il diritto ad una rendita d'invalidità svizzera.</w:t>
      </w:r>
    </w:p>
    <w:p>
      <w:r>
        <w:rPr>
          <w:b/>
        </w:rPr>
        <w:t>E. 13</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14</w:t>
      </w:r>
    </w:p>
    <w:p>
      <w:r>
        <w:t>Di conseguenza, in applicazione delle norme legali e della giurisprudenza sopra citate, la decisione impugnata del 16 luglio 2007 deve essere confermata e il ricorso respinto.</w:t>
      </w:r>
    </w:p>
    <w:p>
      <w:r>
        <w:rPr>
          <w:b/>
        </w:rPr>
        <w:t>E. 15.1</w:t>
      </w:r>
    </w:p>
    <w:p>
      <w:r>
        <w:t>Secondo l'art. 63 cpv. 1 PA, le spese processuali sono di regola messe a carico della parte soccombente. In concreto, visto l'esito della procedura che vede la ricorrente soccombere, le spese processuali di Fr. 300.- sono poste a carico di quest'ultima e compensate con l'anticipo dello stesso ammontare, versato il 18 giugno 2008.</w:t>
      </w:r>
    </w:p>
    <w:p>
      <w:r>
        <w:rPr>
          <w:b/>
        </w:rPr>
        <w:t>E. 15.2</w:t>
      </w:r>
    </w:p>
    <w:p>
      <w:r>
        <w:t>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