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C-7998/2015 vom 28. November 2016</w:t>
      </w:r>
    </w:p>
    <w:p>
      <w:r>
        <w:t>Bundesverwaltungsgericht, 2016-11-28, DE</w:t>
      </w:r>
    </w:p>
    <w:p>
      <w:r>
        <w:rPr>
          <w:b/>
        </w:rPr>
        <w:t xml:space="preserve">Quelle: </w:t>
      </w:r>
      <w:r>
        <w:t>https://mcp.opencaselaw.ch/entscheid/bvger_C-7998_2015</w:t>
      </w:r>
    </w:p>
    <w:p>
      <w:r>
        <w:t>FR: TAF C-7998/2015 du 28 novembre 2016</w:t>
      </w:r>
    </w:p>
    <w:p>
      <w:r>
        <w:t>IT: TAF C-7998/2015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Neurochirurgie und Neuroradiologie)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 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Bundesgerichts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 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Neurochirurgie und Neuroradiologie wird der Beschwerdeführerin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der Beschwerdeführe-rin vorgebrachten Konsequenzen (bei der Leistungserteilung könne ein betroffenes Spital sich nicht mehr gegen eine mangelhafte Zuordnung und die in der Zuordnung vorgenommene Unterteilung in verschiedene Leis-tungsaufträge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 9. Juni 2016 E. 3.3.3). Weiter stellte es fest, dass diese Regelung system- und bundesrechtskonform ist (vgl. Urteil des BVGer C-2251/2015 vom 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1.6.3</w:t>
      </w:r>
    </w:p>
    <w:p>
      <w:r>
        <w:t>Soweit die Beschwerdeführerin im konkreten Fall vorbringt, die Zuordnung habe für die Spitäler unmittelbare rechtliche Wirkungen,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 2.Zu befinden bleibt abschliessend über die Verfahrenskosten und eine all-fällige Parteientschädigung. 2.1. Die Verfahrenskosten sind vorliegend auf CHF 2'000.- festzusetzen (vgl. auch Urteile des BVGer C-1465/2016 vom 26. September 2016 E. 2 , insbesondere 2.1.3, und C-2251/2015 vom 9. Juni 2016 E. 8.1)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 2.2. Gemäss Art. 64 Abs. 1 VwVG hat die obsiegende Partei Anspruch auf eine Parteientschädigung für die ihr erwachsenen notwendigen und verhältnismässig hohen Kosten. Der obsiegenden Vorinstanz ist jedoch keine Parteientschädigung zuzusprechen (vgl. Art. 7 Abs. 3 VGKE). 2.3. Die Beschwerde in öffentlich-rechtlichen Angelegenheiten an das Bundesgericht ist unzulässig (vgl. E. 1.2 mit Hinweisen; Art. 83 Bst. r BGG; BGE 141 V 361).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