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C-7995/2010 vom 21. März 2013</w:t>
      </w:r>
    </w:p>
    <w:p>
      <w:r>
        <w:t>Bundesverwaltungsgericht, 2013-03-21, DE</w:t>
      </w:r>
    </w:p>
    <w:p>
      <w:r>
        <w:rPr>
          <w:b/>
        </w:rPr>
        <w:t xml:space="preserve">Quelle: </w:t>
      </w:r>
      <w:r>
        <w:t>https://mcp.opencaselaw.ch/entscheid/bvger_C-7995_2010</w:t>
      </w:r>
    </w:p>
    <w:p>
      <w:r>
        <w:t>FR: TAF C-7995/2010 du 21 mars 2013</w:t>
      </w:r>
    </w:p>
    <w:p>
      <w:r>
        <w:t>IT: TAF C-7995/2010 del 21 marzo 2013</w:t>
      </w:r>
    </w:p>
    <w:p>
      <w:pPr>
        <w:pStyle w:val="Heading2"/>
      </w:pPr>
      <w:r>
        <w:t>Regeste</w:t>
      </w:r>
    </w:p>
    <w:p>
      <w:r>
        <w:t>Nichtigerklärung der erleichterten Einbürgerung</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2011/1 E. 2 S. 4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S. 164 f.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(BGE 135 II 161 E. 2 S. 164 f. mit Hinweisen), der Gesuchsteller während der Ehe ein aussereheliches Kind zeugt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(Urteil des Bundesverwaltungsgerichts C-3912/2008 vom 8. Juni 2009 E. 3.2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3.4</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C-476/2012 vom 19. Juli 2012 E. 4.3 mit Hinweisen).</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4.2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5.1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5.2</w:t>
      </w:r>
    </w:p>
    <w:p>
      <w:r>
        <w:t>Die formellen Voraussetzungen für eine Nichtigerklärung sind vorliegend erfüllt. Die erleichterte Einbürgerung wurde mit Zustimmung des Heimatkantons Aargau innert fünf Jahren nach ihrer Anordnung für nichtig erklärt.</w:t>
      </w:r>
    </w:p>
    <w:p>
      <w:r>
        <w:rPr>
          <w:b/>
        </w:rPr>
        <w:t>E. 6</w:t>
      </w:r>
    </w:p>
    <w:p>
      <w:r>
        <w:t>Der Beschwerdeführer rügt in seiner Rechtsmitteleingabe nebst der unrichtigen Feststellung des Sachverhalts auch eine unvollständige Feststellung des Sachverhalts durch die Vorinstanz, ohne jedoch im Einzelnen auszuführen, inwiefern der Sachverhalt zu ergänzen wäre. Das einzige wesentliche Sachverhaltselement, welches jedoch von der Vorinstanz nicht berücksichtigt werden konnte, weil es ihr vom Beschwerdeführer vor Erlass der angefochtenen Verfügung verschwiegen worden war, ist die aussereheliche Beziehung zu seiner jetzigen Ehefrau und die Zeugung eines Kindes mit dieser Frau vor der erleichterten Einbürgerung. Demzufolge kann der Vorinstanz in dieser Hinsicht auch kein Vorwurf gemacht werden. Zudem hatte der Beschwerdeführer ausreichend Gelegenheit, sich zur angefochtenen Verfügung, zur Vernehmlassung der Vorinstanz und zum vorerwähnten Sachverhalt zu äussern, weshalb es sich - entgegen seines Eventualantrages in der Rechtsmitteleingabe - erübrigt, die Sache zwecks Ergänzung des Sachverhalts und zu neuem Entscheid an die Vorinstanz zurückzuweisen.</w:t>
      </w:r>
    </w:p>
    <w:p>
      <w:r>
        <w:rPr>
          <w:b/>
        </w:rPr>
        <w:t>E. 7.1</w:t>
      </w:r>
    </w:p>
    <w:p>
      <w:r>
        <w:t>Aus den Akten ergibt sich, dass der Beschwerdeführer nach einem erfolglos durchlaufenen Asylverfahren im Dezember 2001 im Kosovo eine Schweizer Bürgerin heiratete, welche er noch vor seiner Ausreise im Jahre 2000 in der Schweiz kennengelernt hatte. Nach einer Bekanntschaftszeit von etwa sechs Monaten haben sie sich zur Heirat entschlossen, wobei der Anstoss vom Beschwerdeführer ausgegangen war. Bei einem Ferienaufenthalt im Kosovo anfangs Januar 2005 (gemäss Angaben seiner heutigen Ehefrau erst Ende 2005) lernte der Beschwerdeführer seine heutige Ehefrau kennen. Aus dieser ausserehelichen Beziehung ging der am 29. September 2006 geborene Sohn D._______ hervor, wobei der Beschwerdeführer schon vor der Geburt dieses Kindes Kenntnis von der Schwangerschaft und seiner Vaterschaft hatte. Im Januar 2007 reichte der Beschwerdeführer ein Gesuch um erleichterte Einbürgerung ein. Dabei erwähnte er sein ausserehelich geborenes Kind in der dafür vorgesehenen Rubrik des Antragsformulars nicht. Nachdem die Ehegatten am 30. April 2008 die gemeinsame Erklärung zum Bestand der ehelichen Gemeinschaft abgegeben hatten (die Ehe soll damals stabil gewesen sein), wurde der Beschwerdeführer am 18. Juni 2008 erleichtert eingebürgert. Gemäss übereinstimmenden Angaben des Beschwerdeführers und der Ex-Ehefrau trennten sie sich am 16. April 2009, wobei der Beschwerdeführer eine eigene Wohnung bezog. Am 26. Januar 2010 erfolgte die Scheidung. Am 28. September 2011 heiratete der Beschwerdeführer im Kosovo die Mutter seines Sohnes. Die heutige Ehefrau des Beschwerdeführers reichte dann am 24. Januar 2012 bei der zuständigen kantonalen Migrationsbehörde ein Gesuch um Einreise und Familiennachzug in die Schweiz ein.</w:t>
      </w:r>
    </w:p>
    <w:p>
      <w:r>
        <w:rPr>
          <w:b/>
        </w:rPr>
        <w:t>E. 7.2</w:t>
      </w:r>
    </w:p>
    <w:p>
      <w:r>
        <w:t>Der geschilderte Sachverhalt zeigt auf, dass sich der Beschwerdeführer nur mittels Heirat einer Schweizer Bürgerin einen geregelten Aufenthalt verschaffen konnte. Dieser Umstand begründet im Zusammenhang mit der chronologischen Abfolge der Ereignisse (kurze Phase des Kennenlernens vor der Heirat, Eingehen einer ausserehelichen Beziehung und Zeugung eines Kindes, definitive Trennung zehn Monate nach der erleichterten Einbürgerung, anschliessende Scheidung, Heirat der Kindsmutter und Nachzug der Familienmitglieder) ohne Zweifel die Vermutung, der Beschwerdeführer habe bereits zum Zeitpunkt der erleichterten Einbürgerung nicht mehr in einer stabilen, intakten und auf die Zukunft gerichteten ehelichen Gemeinschaft gelebt. Die fragliche, auf der Chronologie der Ereignisse basierende Einschätzung gilt hier unabhängig von den Ausführungen der Ex-Ehefrau zum Zustand der Ehe und den daraus von der Vorinstanz gezogenen Schlussfolgerungen. Insoweit hilft es dem Beschwerdeführer wenig, wenn er die Glaubhaftigkeit bzw. den Beweiswert ihrer Angaben in Frage zu stellen versucht, weil sich diese in der besagten Zeit aufgrund depressiver Symptome bezüglich Entschlüssen und Ansichten in einem Ausnahmezustand befunden haben soll (vgl. das mit der Replik eingereichte ärztliche Zeugnis vom 13. Dezember 2010).</w:t>
      </w:r>
    </w:p>
    <w:p>
      <w:r>
        <w:rPr>
          <w:b/>
        </w:rPr>
        <w:t>E. 7.3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Monate zuvor bestehende tatsächliche, ungetrennte eheliche Gemeinschaft in der Zwischenzeit dergestalt in die Brüche gegangen ist, dass es zur definitiven Trennung bzw. Scheidung kam (vgl. BGE 130 II 482 E. 3.2 S. 486). Dementsprechend stellt sich die Frage, ob die vom Beschwerdeführer vorgebrachten Argumente geeignet sind, die eben beschriebene tatsächliche Vermutung umzustossen.</w:t>
      </w:r>
    </w:p>
    <w:p>
      <w:r>
        <w:rPr>
          <w:b/>
        </w:rPr>
        <w:t>E. 8</w:t>
      </w:r>
    </w:p>
    <w:p>
      <w:r>
        <w:t>Der Beschwerdeführer bestreitet, die Behörden im massgeblichen Zeitraum über den Zustand der Ehe getäuscht zu haben. Die Heirat sei aus Liebe erfolgt und nicht einzig zum Zweck der Aufenthaltssicherung, was von der Ex-Ehefrau in ihrer Befragung vom 11. Juni 2010 bestätigt worden sei. Während des Einbürgerungsverfahrens sei bei beiden Ehegatten der Wille vorhanden gewesen, die Ehe auch in Zukunft aufrecht zu erhalten. Die ehelichen Probleme hätten erst im Januar 2009 angefangen, was vorwiegend damit zu tun gehabt habe, dass der Beschwerdeführer ein Geschäft gegründet und dadurch oft bis spät nachts gearbeitet habe. Die von der Vorinstanz aufgeführten Fakten (Einbürgerung im Juni 2008, Verlegung des Firmensitzes im Juli 2008 nach Olten, Erhalt des Schweizer Passes im September 2008 und die Überschreibung der Firma des Beschwerdeführers auf seinen Namen per 23. Januar 2009) seien keine Beweise und Indizien für den Verlust des Interesses an der ehelichen Gemeinschaft gewesen. Dass der Beschwerdeführer sein Kind anlässlich des Einbürgerungsverfahrens nicht erwähnt habe, habe damit zu tun, dass er es gar nicht gewollt und dies der Mutter auch so mitgeteilt habe. Für ihn sei damit die Sache erledigt gewesen. Seine Haltung habe sich erst im Jahre 2011 geändert, als sein Sohn schwer krank geworden sei.</w:t>
      </w:r>
    </w:p>
    <w:p>
      <w:r>
        <w:rPr>
          <w:b/>
        </w:rPr>
        <w:t>E. 8.1</w:t>
      </w:r>
    </w:p>
    <w:p>
      <w:r>
        <w:t>Eine einmalige oder kurzfristige vorübergehende Untreue braucht zwar noch nicht zwingend das Scheitern einer bestehenden Ehe zu bedeuten. Der vorliegende Fall ist denn auch nur bedingt vergleichbar mit solchen, in denen von Beginn des Eheschlusses an ein Doppelleben mit einer echten und einer vorgetäuschten Familie geführt wird (vgl. Urteil des Bundesgerichts1C_390/2011 vom 22. August 2012 E. 6.2 mit Hinweis). Abzuwägen sind dabei die gesamten besonderen Umstände des Falles.</w:t>
      </w:r>
    </w:p>
    <w:p>
      <w:r>
        <w:rPr>
          <w:b/>
        </w:rPr>
        <w:t>E. 8.2</w:t>
      </w:r>
    </w:p>
    <w:p>
      <w:r>
        <w:t>Nach seinen eigenen Angaben wusste der Beschwerdeführer schon vor der Geburt des Kindes im September 2006 von der Vaterschaft. Aus den Akten ergibt sich ferner (vgl. die diesbezüglichen Angaben des Beschwerdeführers und seiner heutigen Ehefrau vom 14. Juni 2012), dass er seinen Sohn zum ersten Mal besuchte, als dieser ungefähr ein Jahr bzw. eineinhalb Jahre alt war, also spätestens im Frühling/Frühsommer 2008, und ihn dann jeweils einmal pro Jahr traf, als er sich ferienhalber im Kosovo aufhielt. Anlässlich dieser Treffen hat er seinem Sohn Geschenke gemacht und ihm Geld gegeben (200 oder 300 Euro). Dabei kam er jeweils auch in Kontakt mit seiner heutigen Ehefrau. Es ist deshalb davon auszugehen, dass der Beschwerdeführer spätestens zum Zeitpunkt der erleichterten Einbürgerung eine Beziehung zu seinem Sohn und seiner heutigen Ehefrau aufbaute und gleichzeitig die eheliche Beziehung zu seiner Schweizer Ehefrau "erkalten liess". Dass er dann die Kindsmutter später heiratete, ist ein zusätzliches Indiz dafür, dass er - unabhängig von der Zeugung des Kindes - bereits früher eine Beziehung zur heutigen Ehefrau aufgebaut hatte, weshalb der von ihm angegebene Grund für die Aufnahme einer engeren Beziehung zu seinem Sohn und für die Heirat der Kindsmutter (schwere Krankheit des Sohnes) und das Verschweigen seines Sohnes gegenüber den Einbürgerungsbehörden, weil er das Kind damals nicht gewollt habe, als nachgeschobene Schutzbehauptungen zu bewerten sind. Zwar handelt es sich bei der Heirat im Jahre 2011 um ein Ereignis, dass zeitlich eindeutig nach der erleichterten Einbürgerung stattgefunden hat. Es ist aber nicht ausgeschlossen, dass - wie im vorliegenden Verfahren - aus solchen späteren Ereignissen bzw. aus einer nachträglichen Entwicklung Rückschlüsse auf die Ernsthaftigkeit einer Beziehung geschlossen werden und zu Lasten des Betroffenen ausgelegt werden können (vgl. Urteil des Bundesgerichts 1C_390/2011 vom 22. August 2012 E. 5.4).</w:t>
      </w:r>
    </w:p>
    <w:p>
      <w:r>
        <w:rPr>
          <w:b/>
        </w:rPr>
        <w:t>E. 8.3</w:t>
      </w:r>
    </w:p>
    <w:p>
      <w:r>
        <w:t>Insgesamt gibt es genügend Anhaltspunkte dafür, dass der Beschwerdeführer im fraglichen Zeitpunkt keine intakte eheliche Beziehung führte, auch wenn eine von Beginn an bestehende Scheinehe nicht nachgewiesen und daher davon auszugehen ist, dass die Ehe des Beschwerdeführers mit einer Schweizerin nicht von vorneherein vorgetäuscht worden war. Durch die Kontakte zu seinem Sohn und der Kindsmutter bereits vor oder während des Einbürgerungsverfahrens ist die Grundlage für die Vermutung einer nicht mehr intakten Ehe mit der Schweizerin im entscheidenden Zeitpunkt erstellt, und der Beschwerdeführer vermag diese Vermutung nicht überzeugend zu widerlegen. Somit kann auch die Frage offen gelassen werden, ob nach Einschätzung der Schweizer Vertretung in Pristina (vgl. den entsprechenden Bericht vom 25. Juni 2012) bei Geburt des Kindes im Jahre 2006 bereits eine "traditionelle Ehe" bestanden haben muss, ansonsten die Beziehung zwischen dem Beschwerdeführer und der Kindsmutter im Jahre 2011 niemals zu einer Ehe geführt hätte (zur Entehrung der Frau und deren Familie, wenn aus einer spontanen sexuellen Begegnung ein Kind hervorgeht vgl. u.a. Urteil des Bundesverwaltungsgerichts C 8339/2010 vom 17. August 2012 E. 10.5 mit Hinweis), oder ob diese Einschätzung ein veraltetes Bild der Realität im Kosovo aufzeigt (vgl. Erklärung der Eltern der jetzigen Ehefrau des Beschwerdeführers vom 8. Oktober 2012 sowie die Abhandlung eines Ethnologieprofessors der Universität Pristina vom 16. Oktober 2012 über gesellschaftliche Veränderungen im Kosovo nach den Kriegsjahren 1998/99).</w:t>
      </w:r>
    </w:p>
    <w:p>
      <w:r>
        <w:rPr>
          <w:b/>
        </w:rPr>
        <w:t>E. 9</w:t>
      </w:r>
    </w:p>
    <w:p>
      <w:r>
        <w:t>Selbst wenn man - entgegen den vorstehenden Erwägungen - noch von einer intakten Ehe zum massgeblichen Zeitpunkt und von der These des Beschwerdeführers ausgeht, dass die zur Trennung bzw. Scheidung führenden Schwierigkeiten erst im Januar 2009 begonnen hätten, sind vorliegend die Voraussetzungen für die Nichtigerklärung der erleichterten Einbürgerung gegeben. Der Beschwerdeführer wäre nämlich in jedem Fall verpflichtet gewesen, seinen Sohn anlässlich des Einbürgerungsverfahrens anzugeben (vgl. Ziff. 3 des Erhebungsberichtes zur erleichterten Einbürgerung vom 31. Januar 2008 bzw. Antragsformular). Indem er verschwieg, ein ausserhalb der Ehe geborenes Kind zu haben, hat er die Behörden bewusst getäuscht, um seine anstehende erleichterte Einbürgerung nicht zu gefährden. Da es sich bei der Zeugung bzw. Geburt eines ausserehelichen Kindes um einen Sachverhalt handelt, der damals eine erleichterte Einbürgerung verhindert oder zumindest bis zum Abschluss weiterer Beweiserhebungen hinausgezögert hätte und daher erheblich war (vgl. oben Ziff. 3.2 und 3.4), setzte der Beschwerdeführer durch die unterlassene Aufklärung der schweizerischen Behörden den Nichtigkeitsgrund des Erschleichens im Sinne von Art. 41 Abs. 1 BüG (vgl. Urteil des Bundesverwaltungsgerichts C 476/2012 vom 19. Juli 2012 E. 6.4). Gründe, die es ermessensweise rechtfertigen würden, auf die Rechtsfolge der Nichtigerklärung trotz Erfüllung der entsprechenden Voraussetzungen zu verzichten, sind nach dem definitiven Scheitern der Ehe des Beschwerdeführers mit der Schweizer Bürgerin sowie durch die nachträglich erfolgte Heirat mit der Kindsmutter keine ersichtlich.</w:t>
      </w:r>
    </w:p>
    <w:p>
      <w:r>
        <w:rPr>
          <w:b/>
        </w:rPr>
        <w:t>E. 10</w:t>
      </w:r>
    </w:p>
    <w:p>
      <w:r>
        <w:t>Aus den vorstehenden Erwägungen ergibt sich demzufolge, dass die angefochtene Verfügung im Ergebnis rechtmässig ist (Art. 49 VwVG). Die Beschwerde ist daher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