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C-796/2012 vom 5. Dezember 2012</w:t>
      </w:r>
    </w:p>
    <w:p>
      <w:r>
        <w:t>Bundesverwaltungsgericht, 2012-12-05, DE</w:t>
      </w:r>
    </w:p>
    <w:p>
      <w:r>
        <w:rPr>
          <w:b/>
        </w:rPr>
        <w:t xml:space="preserve">Quelle: </w:t>
      </w:r>
      <w:r>
        <w:t>https://mcp.opencaselaw.ch/entscheid/bvger_C-796_2012</w:t>
      </w:r>
    </w:p>
    <w:p>
      <w:r>
        <w:t>FR: TAF C-796/2012 du 5 décembre 2012</w:t>
      </w:r>
    </w:p>
    <w:p>
      <w:r>
        <w:t>IT: TAF C-796/2012 del 5 dicembre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w:t>
      </w:r>
    </w:p>
    <w:p>
      <w:r>
        <w:t>In verfahrensrechtlicher Hinsicht macht der Parteivertreter geltend, die angefochtene Verfügung sei dem Beschwerdeführer am 10. Januar 2012 in R._______ zugestellt worden. Die Zustellung hätte indessen grundsätzlich an ihn erfolgen müssen, sei doch der Vorinstanz bekannt gewesen, dass er die Interessen des Beschwerdeführers vertrete (vgl. Beschwerde vom 10. Februar 2012, S. 2).</w:t>
      </w:r>
    </w:p>
    <w:p>
      <w:r>
        <w:rPr>
          <w:b/>
        </w:rPr>
        <w:t>E. 3.1</w:t>
      </w:r>
    </w:p>
    <w:p>
      <w:r>
        <w:t>Nach Art. 11 Abs. 3 VwVG hat die Behörde ihre Mitteilungen an den mandatierten Rechtsvertreter der Partei zu richten. Erfolgt die Mitteilung direkt gegenüber der Partei und nicht an den Vertreter und ist der Vertretungsbefugte der Behörde bekannt, so stellt dies eine mangelhafte Eröffnung dar (siehe VERA MARANTELLI-SONANINI/SAID HUBER, in: Waldmann/Weissenberger [Hrsg.], VwVG, Praxiskommentar zum Bundesgesetz über das Verwaltungsverfahren, Zürich/Basel/Genf 2009, N 30 zu Art. 11). Trotz dieses Mangels ist die Eröffnung indessen rechtsgültig, wenn eine tatsächliche Irreführung oder andere Benachteiligung des Beschwerdeführers im Sinne von Art. 38 VwVG ausgeschlossen werden kann (vgl. FELIX UHLMANN/ALEXANDRA SCHWANK, in: Waldmann/Weissenberger [Hrsg.], a.a.O., N 7 zu Art. 38).</w:t>
      </w:r>
    </w:p>
    <w:p>
      <w:r>
        <w:rPr>
          <w:b/>
        </w:rPr>
        <w:t>E. 3.2</w:t>
      </w:r>
    </w:p>
    <w:p>
      <w:r>
        <w:t>In casu hätte der Vorinstanz bekannt sein sollen, dass der Beschwerdeführer - trotz Fehlens einer schriftlichen Vollmacht - anwaltlich vertreten wird (siehe dazu Vera Marantelli-Sonanini/Said Huber, a.a.O., N 21 und N 22 zu Art. 11). Dies ergibt sich aus den kantonalen Akten, wurde im dortigen Verfahren doch der schriftliche Verkehr über den Rechtsvertreter geführt. Auch zur mündlichen Anhörung bezüglich Gewährung des rechtlichen Gehörs in Sachen Fernhaltemassnahmen durch das Amt für Bevölkerung und Migration des Kantons Freiburg am 2. November 2011 erschien der Beschwerdeführer mit seinem Parteivertreter. Letzterer kündigte dort an, ein vom BFM allfällig verhängtes Einreiseverbot anzufechten. Allerdings ist dem Beschwerdeführer durch die direkte Zustellung der Verfügung keine Irreführung oder andersweitige Benachteiligung widerfahren. Eine solche macht der Rechtsvertreter auch nicht geltend. Die Verfügung wurde dem Beschwerdeführer im Januar direkt zugestellt, womit er in der Folge innert Frist Beschwerde beim Bundesverwaltungsgericht einreichen konnte. Es kann daher im Ergebnis von einer rechtsgenüglichen Eröffnung der Verfügung vom 8. Dezember 2011 ausgegangen werden. 4.1 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 4.2 Die öffentliche Sicherheit und Ordnung im Sinne von Art. 67 Abs. 2 Bst. a AuG bildet den Oberbegriff für die Gesamtheit der polizeilichen Schutzgüter. Sie umfasst unter anderem die Unverletzlichkeit der objektiven Rechtsordnung und der Rechtsgüter Einzelner wie des Lebens, der Gesundheit, der Freiheit, des Eigentums usw. (vgl.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Der Begriff der gesetzlichen Vorschriften ist weit auszulegen; darunter fallen nicht nur Gebote, sondern beispielsweise auch Verbote. 4.3 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sich nament­lich auch aus der Konvention vom 4. November 1950 zum Schutze der Menschenrechte und Grundfreiheiten [EMRK, SR 0.101] ergeben können) die Einreise in das eigene Hoheitsgebiet zu gestatten (Art. 13 Abs. 1 i.V.m. Art. 5 Abs. 4 Bst. c SGK) bzw. ihr zu diesem Zweck ein Schengen-Visum mit räumlich be­schränkter Gültigkeit auszustellen (Art. 25 Abs. 1 Bst. a [ii] der Vor­ordnung [EG] Nr. 810/2009 des Europäischen Parlaments und des Rates vom 13. Juli 2009 über einen Visakodex der Gemeinschaft [Visakodex], Abl. L 243 vom 15. September 2009). 4.4 Der Beschwerdeführer ist seit seinen diversen Aufenthalten in der Schweiz bereits mehrfach strafrechtlich in Erscheinung getreten (vgl. Sachverhalt Bst. B, D, E und I sowie Auszug aus dem Strafregister vom 5. Oktober 2011). Zuletzt wurde er mit Strafbefehl der Staatsanwaltschaft des Kantons Freiburg vom 20. Juli 2011 - in Ergänzung zur Strafe des Untersuchungsrichters des Kantons Freiburg vom 23. März 2010 - wegen rechtswidrigen Aufenthalts zu einer Geldstrafe von 30 Tagessätzen zu je Fr. 30.- verurteilt. Sein häufiges Fehlverhalten rechtfertigt somit grundsätzlich ein Einreiseverbot gemäss Art. 67 Abs. 2 Bst. a AuG.</w:t>
      </w:r>
    </w:p>
    <w:p>
      <w:r>
        <w:rPr>
          <w:b/>
        </w:rPr>
        <w:t>E. 5</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Zürich/St. Gallen 2010, Rz. 613 ff.).</w:t>
      </w:r>
    </w:p>
    <w:p>
      <w:r>
        <w:rPr>
          <w:b/>
        </w:rPr>
        <w:t>E. 5.1</w:t>
      </w:r>
    </w:p>
    <w:p>
      <w:r>
        <w:t>Entgegen der in der Beschwerdeschrift geäusserten Auffassung wiegt das Fehlverhalten des Beschwerdeführers objektiv nicht leicht. Es beinhaltet die Missachtung ausländerrechtlicher Normen, denen im Interesse einer funktionierenden Rechtsordnung eine zentrale Bedeutung zukommt. Aufgrund des Verhaltens des Beschwerdeführers ist anzunehmen, dass es ihm weitgehend an Einsicht fehlt, sich an die geltende Rechtsordnung zu halten. Nur so lassen sich seine zahlreichen - im Sachverhalt dargelegten - illegalen Einreisen und Aufenthalte in die Schweiz und die Missachtung diverser Fernhaltemassnahmen interpretieren. Insofern besteht ein gewichtiges Interesse an seiner Fernhaltung.</w:t>
      </w:r>
    </w:p>
    <w:p>
      <w:r>
        <w:rPr>
          <w:b/>
        </w:rPr>
        <w:t>E. 5.2</w:t>
      </w:r>
    </w:p>
    <w:p>
      <w:r>
        <w:t>Hinsichtlich der privaten Interessen verweist der Beschwerdeführer auf seine Verwurzelung und seinen Freundeskreis in der Schweiz. Er sei ein klassischer "Sans-Papier", der sprachlich und kulturell integriert sei. Des Weiteren verweist er auf gesundheitliche Probleme, weswegen er ein Interesse habe, in der Schweiz die notwendige medizinische und rechtliche Hilfe zu erhalten.</w:t>
      </w:r>
    </w:p>
    <w:p>
      <w:r>
        <w:rPr>
          <w:b/>
        </w:rPr>
        <w:t>E. 5.3</w:t>
      </w:r>
    </w:p>
    <w:p>
      <w:r>
        <w:t>Allfällige Einschränkungen des Privat- bzw. Familienlebens des Be­schwerdeführers können jedoch vorliegend aufgrund sachlicher und funktioneller Unzuständigkeit des Bundesverwaltungsgerichts nicht Verfahrensgegenstand sein, soweit sie auf das Fehlen eines dauer­haften Aufenthaltsrechts in der Schweiz zurückzuführen sind (vgl. Urteil des Bundesverwaltungsgerichts C-2069/2010 vom 25. Februar 2011 E. 7.4.2 mit Hinweisen). Die Pflege regelmässiger freundschaftlicher Kontakte zur Schweiz scheitert mithin bereits am fehlenden Anwesenheitsrecht hierzulande. Kommt hinzu, dass die Ehefrau des Beschwerdeführers und seine beiden Kinder im Kosovo leben, womit eine Einschränkung des Familienlebens ohnehin verneint werden kann.</w:t>
      </w:r>
    </w:p>
    <w:p>
      <w:r>
        <w:rPr>
          <w:b/>
        </w:rPr>
        <w:t>E. 5.4</w:t>
      </w:r>
    </w:p>
    <w:p>
      <w:r>
        <w:t>Da der Beschwerdeführer über kein Aufenthaltsrecht verfügt, könnte er derzeit nur zu Besuchszwecken in die Schweiz kommen. Die Aufhebung des Einreiseverbots würde demnach lediglich dazu führen, dass er den allgemeinen, für Staatsangehörige des Kosovo geltenden Einreisebestimmungen (insbesondere der Visumspflicht) unterstünde (vgl. Art. 4 Abs. 1 der Verordnung vom 22. Oktober 2008 über die Einreise und die Visumerteilung [VEV, SR 142.204] mit Verweisung auf die Verordnung [EG] Nr. 539/2001 des Rates vom 15. März 2001, die im Anhang I eine Liste von Drittländern enthält - darunter das Gebiet des Kosovo - deren Staatsangehörige für den Schengenraum visumspflichtig sind). Dieser Umstand dürfte dem Beschwerdeführer im Übrigen bekannt sein, hat er doch - wie es sich aus den Akten ergibt - am 11. Januar 2012 bei der Schweizerischen Botschaft in Kosovo erfolglos um die Ausstellung eines Visums ersucht. Der Beschwerdeführer könnte somit ohnehin nicht bewilligungsfrei in die Schweiz einreisen. Bezüglich seiner diversen und nunmehr lediglich in pauschaler Form vorgebrachten psychischen und physischen Leiden gilt es darauf hinzuweisen, dass das Bundesverwaltungsgericht im Urteil C-662/2006 vom 5. Februar 2009 eingehend festhielt, für die Beschwerden des Beschwerdeführers würden auch im Heimatland medizinische Behandlungsmöglichkeiten bestehen (vgl. E. 6.7). Im Übrigen wären ihm Besuchsaufenthalte in der Schweiz nicht schlichtweg untersagt. Es steht ihm vielmehr die Möglichkeit offen, aus wichtigen Gründen die Suspension der angeordneten Fernhaltemassnahme zu beantragen (Art. 67 Abs. 5 AuG), woraufhin auch die Vorinstanz in ihrer Vernehmlassung vom 26. September 2012 hinweist.</w:t>
      </w:r>
    </w:p>
    <w:p>
      <w:r>
        <w:rPr>
          <w:b/>
        </w:rPr>
        <w:t>E. 5.5</w:t>
      </w:r>
    </w:p>
    <w:p>
      <w:r>
        <w:t>Eine wertende Gewichtung der sich entgegenstehenden Interessen führt das Bundesverwaltungsgericht zum Schluss, dass das auf fünf Jahre befristete Einreiseverbot sowohl vom Grundsatz her als auch in Bezug auf seine Dauer eine verhältnismässige und angemessene Massnahme zum Schutz der öffentlichen Ordnung darstellt. Das Einreiseverbot ist daher zu bestätigen.</w:t>
      </w:r>
    </w:p>
    <w:p>
      <w:r>
        <w:rPr>
          <w:b/>
        </w:rPr>
        <w:t>E. 6</w:t>
      </w:r>
    </w:p>
    <w:p>
      <w:r>
        <w:t>Aus diesen Erwägungen ergibt sich, dass die angefochtene Verfügung im Lichte von Art. 49 VwVG nicht zu beanstanden ist. Die Beschwerde ist demzufolge abzuweisen. 7.Entsprechend dem Ausgang des Verfahrens wird der unterliegende Beschwerdeführer kostenpflichtig (vgl. Art. 63 Abs. 1 VwVG, Art. 1, 2 und 3 Bst. b des Reglements über die Kosten und Entschädigungen vor dem Bundesverwaltungsgericht vom 21. Februar 2008 [VGKE, SR 173.320.2]).</w:t>
      </w:r>
    </w:p>
    <w:p>
      <w:r>
        <w:rPr>
          <w:b/>
        </w:rPr>
        <w:t>E. 8</w:t>
      </w:r>
    </w:p>
    <w:p>
      <w:r>
        <w:t>Das vorliegende Urteil ist endgültig (Art. 83 Bst. c Ziff. 1 des Bundesgerichtsgesetzes vom 17. Juni 2005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