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C-7944/2009 vom 20. Juli 2010</w:t>
      </w:r>
    </w:p>
    <w:p>
      <w:r>
        <w:t>Bundesverwaltungsgericht, 2010-07-20, FR</w:t>
      </w:r>
    </w:p>
    <w:p>
      <w:r>
        <w:rPr>
          <w:b/>
        </w:rPr>
        <w:t xml:space="preserve">Quelle: </w:t>
      </w:r>
      <w:r>
        <w:t>https://mcp.opencaselaw.ch/entscheid/bvger_C-7944_2009</w:t>
      </w:r>
    </w:p>
    <w:p>
      <w:r>
        <w:t>FR: TAF C-7944/2009 du 20 juillet 2010</w:t>
      </w:r>
    </w:p>
    <w:p>
      <w:r>
        <w:t>IT: TAF C-7944/2009 del 20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ATAF 2009/27 consid. 5.2 p. 344, arrêt du TAF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ressortissante péruvienne, A._______ est soumise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w:t>
      </w:r>
    </w:p>
    <w:p>
      <w:r>
        <w:rPr>
          <w:b/>
        </w:rPr>
        <w:t>E. 7.1</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7.2</w:t>
      </w:r>
    </w:p>
    <w:p>
      <w:r>
        <w:t>A ce sujet, compte tenu de la situation prévalant au Pérou et des disparités économiques importantes existant entre ce pays et la Suisse, le Tribunal ne saurait d'emblée écarter les réserves émises quant à un retour de A._______ à l'échéance du visa. Les conditions socio-économiques difficiles qui ont cours au Pérou ne sont pas sans exercer une pression migratoire importante sur la population locale. Cette tendance est encore renforcée lorsque l'invitée peut s'appuyer à l'étranger sur un réseau social préexistant (parents, amis), comme c'est le cas pour l'invitée.</w:t>
      </w:r>
    </w:p>
    <w:p>
      <w:r>
        <w:rPr>
          <w:b/>
        </w:rPr>
        <w:t>E. 8.1</w:t>
      </w:r>
    </w:p>
    <w:p>
      <w:r>
        <w:t>Cela étant, comme il a déjà été mentionné ci-dessus, la seule situation dans le pays d'origine ne suffit pas à conclure à l'absence de garantie quant à la sortie de l'Espace Schengen à l'issue du séjour, toutes les particularités du cas d'espèce devant être prises en considération.</w:t>
      </w:r>
    </w:p>
    <w:p>
      <w:r>
        <w:rPr>
          <w:b/>
        </w:rPr>
        <w:t>E. 8.2</w:t>
      </w:r>
    </w:p>
    <w:p>
      <w:r>
        <w:t>Il ressort du dossier que A._______ (42 ans) est mariée au Pérou, qu'elle a eu un fils, lui-même père d'un enfant. Elle souhaite se rendre en Suisse pour une visite auprès de la famille de X._______ accompagnée de sa soeur B._______, mais sans ses proches. La présence au pays de son époux, de son fils et de son petit-fils crée des attaches familiales conséquentes, un facteur qui, s'il n'est pas en lui-même suffisant, est néanmoins susceptible de motiver un retour de l'intéressée dans son pays d'origine après un séjour de 30 jours en Suisse. A cela s'ajoute que A._______ bénéficie d'un emploi depuis de nombreuses années au Pérou. Elle travaille en effet depuis plus de 15 ans au sein du même établissement scolaire en tant que professeur d'éducation physique. Cette fidélité lui a permis d'obtenir un congé exceptionnel sans rémunération d'un mois pour son voyage en Suisse, avec la garantie d'être réintégrée dans sa position à son retour (cf. attestation de la direction régionale de l'éducation de Ica du 10 juillet 2009). Certes, son salaire demeure nettement inférieur aux standards suisses. Avec des revenus annuels d'environ $ 5'000.--, elle se situe toutefois dans la moyenne nationale péruvienne, et le Tribunal peut partir du principe que cette rémunération est à même de lui assurer des conditions d'existence décentes. Enfin, il convient de relever que le recourant a fourni des garanties financières solides et qu'il connaît bien son invitée, son fils ayant partagé plusieurs années durant le quotidien de la famille de A._______. Une relation de confiance a ainsi pu être tissée entre X._______ et ses invitées, aspect qui vient renforcer l'appréciation générale apportée au cas d'espèce. Aussi, dans la mesure où A._______ va voyager avec sa soeur (qui elle aussi a des obligations familiales au Pérou et dont la demande d'autorisation d'entrée est admise par arrêt C-7945/2009 du même jour), qu'elle possède des attaches non négligeables dans sa patrie, qu'elle est indépendante financièrement et a démontré une grande stabilité professionnelle, le Tribunal est amené à considérer que son retour au Pérou à l'échéance du visa sollicité peut être tenu, avec un haut degré de probabilité, pour garanti, conformément aux exigences posées par l'art. 5 al. 2 LEtr.</w:t>
      </w:r>
    </w:p>
    <w:p>
      <w:r>
        <w:rPr>
          <w:b/>
        </w:rPr>
        <w:t>E. 9</w:t>
      </w:r>
    </w:p>
    <w:p>
      <w:r>
        <w:t>En conséquence, le recours est admis, la décision attaquée annulée et la cause renvoyée pour nouvel examen à l'ODM, lequel devra déterminer si A._______ remplit les conditions d'entrée posées par le code frontières Schengen ou s'il convient, le cas échéant, de lui octroyer un visa à validité territoriale limitée en application de l'art. 2 al. 4 OEV.</w:t>
      </w:r>
    </w:p>
    <w:p>
      <w:r>
        <w:rPr>
          <w:b/>
        </w:rPr>
        <w:t>E. 10</w:t>
      </w:r>
    </w:p>
    <w:p>
      <w:r>
        <w:t>Obtenant gain de cause, le recourant n'a pas à supporter de frais de procédure (art. 63 al. 1 PA a contrario et art. 63 al. 3 PA). Bien qu'elle succombe, l'autorité inférieure n'a pas à supporter de frais de procédure (art. 63 al. 2 PA). Il ne se justifie par ailleurs pas d'allouer des dépens, dès lors que le recourant a agi dans la présente cause sans l'assistance d'un mandataire professionnel (cf. ATF 134 I 184 consid. 6.3, 113 Ib 357 consid. 6b)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