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C-7942/2010 vom 16. Januar 2013</w:t>
      </w:r>
    </w:p>
    <w:p>
      <w:r>
        <w:t>Bundesverwaltungsgericht, 2013-01-16, DE</w:t>
      </w:r>
    </w:p>
    <w:p>
      <w:r>
        <w:rPr>
          <w:b/>
        </w:rPr>
        <w:t xml:space="preserve">Quelle: </w:t>
      </w:r>
      <w:r>
        <w:t>https://mcp.opencaselaw.ch/entscheid/bvger_C-7942_2010</w:t>
      </w:r>
    </w:p>
    <w:p>
      <w:r>
        <w:t>FR: TAF C-7942/2010 du 16 janvier 2013</w:t>
      </w:r>
    </w:p>
    <w:p>
      <w:r>
        <w:t>IT: TAF C-7942/2010 del 16 gennaio 2013</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2.1</w:t>
      </w:r>
    </w:p>
    <w:p>
      <w:r>
        <w:t>Anfechtungsgegenstand des vorliegenden Verfahrens ist der Verwaltungsakt der Ostschweizer BVG- und Stiftungsaufsicht vom 29. September 2010, welcher ohne Zweifel eine Verfügung im Sinne von Art. 5 VwVG darstellt.</w:t>
      </w:r>
    </w:p>
    <w:p>
      <w:r>
        <w:rPr>
          <w:b/>
        </w:rPr>
        <w:t>E. 2.2</w:t>
      </w:r>
    </w:p>
    <w:p>
      <w:r>
        <w:t>Die Beschwerde gegen diese Verfügung ist frist- und formgerecht eingegangen (Art. 50 und 52 VwVG). Auch der eingeforderte Kostenvor-schuss ist in der gesetzten Frist geleistet worden.</w:t>
      </w:r>
    </w:p>
    <w:p>
      <w:r>
        <w:rPr>
          <w:b/>
        </w:rPr>
        <w:t>E. 3.1</w:t>
      </w:r>
    </w:p>
    <w:p>
      <w:r>
        <w:t>Im Rahmen der Eintretensfrage bestreitet die Vorinstanz die Beschwerdelegitimation der Beschwerdeführerin mit der Begründung, zum einen könne sie für die in der Beschwerde namentlich aufgeführten Personen keine Vollmacht vorlegen und somit sei vom Einverständnis der betreffenden Personen zur angefochtenen Genehmigungsverfügung auszugehen, und zum anderen habe die Beschwerdeführerin keine Beziehung und kein Mitspracherecht mehr gegenüber der Beschwerdegegnerin, da der kommissarische Verwalter die Funktionen des Stiftungsrats ausübe. Demgegenüber macht die Beschwerdeführerin geltend, sie gedenke nicht, einzelne namentlich aufgeführte Personen zu vertreten, weshalb sich die Einreichung von Vollmachten erübrige, es könne aber auch nicht von einer stillschweigenden Zustimmung der Destinatäre ausgegangen werden, da die angefochtene Verfügung und der Verteilungsplan keinem Destinatär mitgeteilt worden sei. Im Weiteren hält die Beschwerdeführerin sinngemäss fest, sie stehe noch immer in enger Beziehung zur Beschwerdegegnerin, dabei spiele die Übertragung der Funktionen des Stiftungsrats an den kommissarischen Verwalter keine Rolle.</w:t>
      </w:r>
    </w:p>
    <w:p>
      <w:r>
        <w:rPr>
          <w:b/>
        </w:rPr>
        <w:t>E. 3.2</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(kumulativen)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Urteil des BGer 2C_527/2007 vom 13. Mai 2008 E. 5.3; BVGE 2007/20 E. 2.4.1; Urteile BVGer C-625/2009 vom 8. Mai 2012 E. 3.2.3 und C-2399/2006 vom 6. Oktober 2009 E. 3.2.1; Vera Marantelli-Sonanini/Said Huber in: Praxiskommentar VwVG, Waldmann/Weissenberger [Hrsg.], Zürich 2009, Art. 48 N 10 f.).</w:t>
      </w:r>
    </w:p>
    <w:p>
      <w:r>
        <w:rPr>
          <w:b/>
        </w:rPr>
        <w:t>E. 3.3.1</w:t>
      </w:r>
    </w:p>
    <w:p>
      <w:r>
        <w:t>Wie aktenkundig ist (vgl. vorne J., K.), wurden die Destinatäre über den Verteilungsplan und die Verfügung vom 29. September 2010 nicht orientiert, weshalb ihnen keine Gelegenheit eingeräumt wurde, sich für oder gegen die Verteilung zu entscheiden. Dementsprechend kann entgegen der Auffassung der Vorinstanz nicht von einer Zustimmung der Destinatäre zum Verteilungsplan ausgegangen werden. Es kann aber auch nicht auf die Ablehnung desselben geschlossen werden, was bedeutet, dass die Beschwerdeerhebung durch die Destinatäre resp. durch eine Rechtsvertretung ausser Betracht fällt. Zwar ist nicht ausgeschlossen, dass die Beschwerdeführerin die Destinatäre vertritt, weshalb, wie die Vorinstanz richtig bemerkt, eine Vollmacht beizubringen wäre. In ihrer Replik hat die Beschwerdeführerin jedoch ausdrücklich präzisiert, dass sie nie beabsichtigt habe, die in ihrer Beschwerdeschrift aufgeführten Destinatäre zu vertreten, was im Übrigen von letzteren auch nicht geltend gemacht wird. Demzufolge ist vorliegend davon auszugehen, dass die Beschwerdeführerin in eigenem Namen auftritt und auch keine Vollmachten beizubringen hat. Demgegenüber stellte die Beschwerdegegnerin die Genehmigungsverfügung und den Verteilungsplan C._______ und D._______ zu (vgl. vorne D). Beide Personen waren indes nie bei der Beschwerdegegnerin versichert. Demzufolge haben sie keinen statutarischen Leistungsanspruch gegenüber der Beschwerdegegnerin und deshalb - entgegen der Auffassung der Beschwerdeführerin - keinen Anspruch auf Zuteilung von freien Mitteln bei der vorliegenden Liquidation der Beschwerdegegnerin.</w:t>
      </w:r>
    </w:p>
    <w:p>
      <w:r>
        <w:rPr>
          <w:b/>
        </w:rPr>
        <w:t>E. 3.3.2</w:t>
      </w:r>
    </w:p>
    <w:p>
      <w:r>
        <w:t>Die Beschwerde wurde, wie erwähnt, denn auch ausdrücklich im eigenen Namen der B._______ AG (heute firmierend unter A._______ AG, vgl. vorne M.) und somit namens der Arbeitgeberin erhoben. Zu prüfen bleibt daher, ob die Beschwerdeführerin in ebendieser Funktion beschwerdelegitimiert ist.</w:t>
      </w:r>
    </w:p>
    <w:p>
      <w:r>
        <w:rPr>
          <w:b/>
        </w:rPr>
        <w:t>E. 3.3.3</w:t>
      </w:r>
    </w:p>
    <w:p>
      <w:r>
        <w:t>Die Frage der Beschwerdelegitimation, auch der beschwerdeführenden Arbeitgeberin im vorliegenden Fall, beurteilt sich in erster Linie im Lichte des erwähnten Art. 48 Abs. 1 VwVG. Daran ändert auch Art. 53d Abs. 5 und 6 BVG nichts, welcher die Beteiligungsrechte spezifisch der aktiven Versicherten und Rentnerinnen und Rentner im Gesamt- und Teilliquidationsverfahren näher umschreibt, indem diese das Recht haben, die Voraussetzungen, das Verfahren und den Verteilungsplan bei der zuständigen Aufsichtsbehörde überprüfen und entscheiden zu lassen, über die sie zuvor informiert worden sind (Ueli Kieser, Handkommentar zum BVG und FZG, Art. 53d BVG N 65; in diese Richtung auch Urteil des BVGer C-625/2009 vom 8. Mai 2012 E. 2.3.5.3 in fine). Zwar haben die Arbeitgeber nicht selber einen Anspruch auf Vorsorgeleistungen und sind somit nicht unmittelbar vom Verteilungsplan betroffen. Immerhin haben sie - was in der Rechtsprechung in vergleichbaren Fällen bereits anerkannt worden ist (vgl. Urteil des BGer 2A.185/1997 vom 11. Februar 1998, E. 3d [in SZS 2001 S. 374 ff. und Pra 1998 n° 70 S. 435], Urteile des BVGer C-5329/2010 vom 14. März 2012 E. 2.2, C-2399/2006 vom 6. Oktober 2009 E. 3.2.3) - einen vertraglichen Anspruch darauf, dass die Vorsorgeeinrichtung die ihr obliegenden Vorsorgepflichten gegenüber den bei ihnen versicherten Arbeitnehmern korrekt wahrnimmt (vgl. auch Isabelle Vetter-Schreiber, Berufliche Vorsorge, Zürich 2009, BVG 74 N 11; Thomas Lüthy, Das Rechtsverhältnis zwischen Arbeitgeber und Personalvorsorgestiftung, insbesondere der Anschlussvertrag mit einer Sammel- oder Gemeinschaftsstiftung, Diss. ZH 1989, 89 ff.). Dazu gehört auch, dass, sofern die entsprechenden Voraussetzungen erfüllt sind, eine Teilliquidation oder wie vorliegend eine Gesamtliquidation durchgeführt und die entsprechenden freien Mittel den Arbeitnehmern mitgegeben werden. Die Arbeitgeber können ein schutzwürdiges Interesse einerseits als Vertragspartei des Anschlussvertrages und andererseits auch aus ihrer Pflicht, dem Arbeitnehmer über dessen Forderungsrechte gegen die Vorsorgeeinrichtung Aufschluss zu erteilen (vgl. Art. 331 Abs. 4 OR), geltend machen (Urteil BVGer C-2399/2006 vom 6. Oktober 2009 E. 3.2.3 in fine). Dies trifft auch auf den vorliegenden Fall zu, wo sich die Beschwerdeführerin insbesondere für die Gruppe der ehemaligen und älteren Arbeitnehmer gegenüber der Stiftung einsetzt (vgl. vorne C. in fine).</w:t>
      </w:r>
    </w:p>
    <w:p>
      <w:r>
        <w:rPr>
          <w:b/>
        </w:rPr>
        <w:t>E. 3.3.4</w:t>
      </w:r>
    </w:p>
    <w:p>
      <w:r>
        <w:t>Am vorinstanzlichen Verfahren nahm die Beschwerdeführerin teil, indem sie die Vorinstanz zur Stiftungsliquidation aufforderte (vgl. vorne B.) und, nachdem sie von der Beschwerdegegnerin mehrmals zur Einreichung eines Verteilungsvorschlags aufgefordert wurde, der Aufforderung im Schreiben vom 16. März 2010 nachkam (vgl. vorne C.). Die Vorinstanz jedoch nahm die Beschwerdeführerin nicht als Adressatin in die Genehmigungsverfügung auf (vgl. act. 1/1, S. 3), was sie mit der Absetzung des Stiftungsrats und der Einsetzung eines kommissarischen Verwalters im 2004 begründete. Dieser Umstand hat jedoch keinen Einfluss auf das Verhältnis der Beschwerdeführerin gegenüber der Beschwerdegegnerin und tangiert auch nicht die Rechte und Pflichten der Beschwerdeführerin gegenüber ihren (ehemaligen) Arbeitnehmenden und mithin gegenüber den Destinatären bei der vorliegenden Liquidation der Beschwerdegegnerin. Jedenfalls hätte die Vorinstanz der Beschwerdeführerin gegenüber die Genehmigungsverfügung eröffnen sollen.</w:t>
      </w:r>
    </w:p>
    <w:p>
      <w:r>
        <w:rPr>
          <w:b/>
        </w:rPr>
        <w:t>E. 3.4</w:t>
      </w:r>
    </w:p>
    <w:p>
      <w:r>
        <w:t>Nach dem Gesagten ist insgesamt davon auszugehen, dass die Voraussetzungen von Art. 48 VwVG gegeben sind, um die Beschwerdeführerin als beschwerdelegitimiert zu betrachten. Damit ist die diesbezügliche formelle Rüge der Vorinstanz abzuweisen und es ist, nachdem auch die anderen formellen Voraussetzungen erfüllt sind (vgl. E. 2.2), ohne Einschränkung auf die Beschwerde einzutreten.</w:t>
      </w:r>
    </w:p>
    <w:p>
      <w:r>
        <w:rPr>
          <w:b/>
        </w:rPr>
        <w:t>E. 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5.1</w:t>
      </w:r>
    </w:p>
    <w:p>
      <w:r>
        <w:t>Die Aufsichtsbehörde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im Rahmen einer generell-abstrakten Normenkontrolle die Übereinstimmung der reglementarischen Bestimmungen mit den gesetzlichen Vorschriften prüft (Bst. a), von den Vorsorgeeinrichtungen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5.2</w:t>
      </w:r>
    </w:p>
    <w:p>
      <w:r>
        <w:t>Im Rahmen ihrer Aufsichtstätigkeit hat sich die Aufsichtsbehörde auch mit der Gesamtliquidation von Vorsorgeeinrichtungen zu befassen, indem sie entscheidet, ob die Voraussetzungen und das Verfahren erfüllt sind und indem sie den Verteilungsplan genehmigt (Art. 53c BVG).</w:t>
      </w:r>
    </w:p>
    <w:p>
      <w:r>
        <w:rPr>
          <w:b/>
        </w:rPr>
        <w:t>E. 5.2.1</w:t>
      </w:r>
    </w:p>
    <w:p>
      <w:r>
        <w:t>Im Verfahren bei Teil- und Gesamtliquidationen legt Art. 53d Abs. 5 BVG eine umfassende und spezifische Informationspflicht der Vorsorgeeinrichtung zu Gunsten der Versicherten und Rentner/innen fest, denen namentlich Einsicht in die Verteilungspläne zu gewähren ist. Die Vorsorgeeinrichtung muss die Versicherten und Rentner/innen dabei unaufgefordert, rechtzeitig und vollständig informieren, indem sie insbesondere über die Erfüllung der Liquidationsvoraussetzungen, die Höhe und Berechnung der freien Mittel bzw. des Fehlbetrages und über die Kriterien des Verteilungsplanes informiert. Sie hat auch Einblick in den Verteilungsplan zu gewähren, wobei sich die Einsicht allerdings nicht auf diejenigen Berechnungsgrundlagen bezieht, welche zur Ermittlung der individuellen Anteile anderer Personen führen (Ueli Kieser in: Jacques-André Schneider/ Thomas Geiser/ Thomas Gächter, Handkommentar zum BVG und FZG, Bern 2010, Art. 53d N. 60 und 61). Auch wenn eine eigentliche Anhörung der einzelnen Destinatäre vor Erlass eines Verteilungsplanes nicht zwingend ist (Isabelle Vetter-Schreiber, BVG, Zürich 2009, 53d N. 25), sind die Betroffenen umfassend zu informieren. Die Einsicht in den Verteilungsplan wird in der Regel am Sitz der Vorsorgeeinrichtung erfolgen. Eine Information ist aber auch schriftlich möglich (Ueli Kieser, a.a.O., Art. 53d N. 62). Nachdem der Versicherte bzw. der Rentner oder die Rentnerin von den Beschlüssen der Vorsorgeeinrichtung Kenntnis genommen und den Verteilungsplan eingesehen hat, hat er oder sie das Recht, diese Beschlüsse und den Verteilungsplan bei der Aufsichtsbehörde überprüfen zu lassen (Art. 53d Abs. 6 BVG; BBl 2000 2698). Diese Informationspflicht kann allerdings - auch unter Berücksichtigung eines effizienten Entscheidungsprozesses, der komplexen Materie und der hohen Zahl der zu informierenden Personen in diesem spezifischen Bereich - nicht ganz mit dem Gehörsanspruch nach Art. 29 Abs. 2 BV gleichgesetzt werden etwa in dem Sinne, dass der Stiftungsrat vor der Fassung seines Entscheids über die Festlegung des Verteilungsplanes die Destinatäre anhören müsste (vgl. Ueli Kieser, a.a.O., Art. 53d N. 60). Der Gesetzgeber wollte aber immerhin, dass die Information der Betroffenen über eine bevorstehende Teilliquidation sichergestellt wird (BBl 2000 2674) und dass diese aufgrund der erhaltenen Informationen ihre Rechte wahrnehmen können (BBl 2000 2697).</w:t>
      </w:r>
    </w:p>
    <w:p>
      <w:r>
        <w:rPr>
          <w:b/>
        </w:rPr>
        <w:t>E. 5.2.2</w:t>
      </w:r>
    </w:p>
    <w:p>
      <w:r>
        <w:t>Zweifellos beabsichtigte die Beschwerdegegnerin, die Destinatäre rechtzeitig über die Mittelverteilung zu informieren, also noch vor Einreichung des Verteilungsplans an die Vorinstanz, darauf weisen ihre diesbezüglichen Schreiben an die Beschwerdeführerin hin (vgl. vorne C.). Als Arbeitgeberin sollte die Beschwerdeführerin denn auch über die Daten ihrer ehemaligen Arbeitnehmer und mithin der Destinatäre verfügen. Sie scheint aber nicht gewillt zu sein, der Beschwerdegegnerin die Adressen zu liefern. In der Folge reichte die Beschwerdegegnerin den Verteilungsplan bei der Vorinstanz zwecks Genehmigung ein, ohne vorher die Destinatäre persönlich kontaktiert oder auf andere Weise über die Mittelverteilung informiert zu haben, beispielsweise indem sie im SHAB die Möglichkeit zur Einsichtnahme in den Verteilungsplan veröffentlichen liess.</w:t>
      </w:r>
    </w:p>
    <w:p>
      <w:r>
        <w:rPr>
          <w:b/>
        </w:rPr>
        <w:t>E. 5.3</w:t>
      </w:r>
    </w:p>
    <w:p>
      <w:r>
        <w:t>Damit hat die Beschwerdegegnerin die ihr obliegende Informationspflicht nicht eingehalten. Demzufolge hätte die Vorinstanz den Verteilungsplan mit der angefochtenen Verfügung nicht genehmigen dürfen. Vielmehr hätte sie den Verteilungsplan an die Beschwerdegegnerin zurückweisen müssen. Entgegen dem Antrag der Beschwerdegegnerin ist es auch nicht Sache des Bundesverwaltungsgerichts, die Beschwerdeführerin zur Herausgabe der Destinatäradressen an die Beschwerdegegnerin zu verpflichten.</w:t>
      </w:r>
    </w:p>
    <w:p>
      <w:r>
        <w:rPr>
          <w:b/>
        </w:rPr>
        <w:t>E. 6</w:t>
      </w:r>
    </w:p>
    <w:p>
      <w:r>
        <w:t>Dies führt insgesamt zur Aufhebung der angefochtenen Verfügung und zur Gutheissung der Beschwerde dahingehend, dass die Sache an die Vorinstanz zurückgewiesen wird, damit diese die Beschwerdegegnerin anweise, einen neuen Verteilungsplan unter Beachtung der Informationspflichten der Destinatäre zu erstellen und ihr zur Genehmigung vorzulegen.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Der unterliegenden Vorinstanz werden keine Verfahrenskosten auferlegt (Art. 63 Abs. 2 VwVG). Da eine Rückweisung praxisgemäss als Obsiegen gilt (vgl. BGE 132 V 215 E. 6, BGer B_49/06 vom 7. Mai 2007 E. 5), hat die Beschwerdegegnerin die Verfahrenskosten zu tragen. Unter Berücksichtigung des Umfangs und der Schwierigkeit der Streitsache (vgl. Art. 2 Abs. 1 des Reglements vom 21. Februar 2008 über die Kosten und Entschädigungen vor dem Bundesverwaltungsgericht [VGKE, SR 173.320.2]) sind die Verfahrenskosten vorliegend auf Fr. 7'000.- festzusetzen. Der Beschwerdeführerin wird der geleistete Kostenvorschuss zurückerstattet.</w:t>
      </w:r>
    </w:p>
    <w:p>
      <w:r>
        <w:rPr>
          <w:b/>
        </w:rPr>
        <w:t>E. 7.2</w:t>
      </w:r>
    </w:p>
    <w:p>
      <w:r>
        <w:t>Der nicht anwaltlich vertretenen Beschwerdeführerin sind vorliegend keine notwendigen und verhältnismässig hohe Kosten entstanden, weshalb ihr keine Parteientschädigung zuzusprechen ist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