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C-793/2007 vom 2. Juli 2007</w:t>
      </w:r>
    </w:p>
    <w:p>
      <w:r>
        <w:t>Bundesverwaltungsgericht, 2007-07-02, DE</w:t>
      </w:r>
    </w:p>
    <w:p>
      <w:r>
        <w:rPr>
          <w:b/>
        </w:rPr>
        <w:t xml:space="preserve">Quelle: </w:t>
      </w:r>
      <w:r>
        <w:t>https://mcp.opencaselaw.ch/entscheid/bvger_C-793_2007</w:t>
      </w:r>
    </w:p>
    <w:p>
      <w:r>
        <w:t>FR: TAF C-793/2007 du 2 juillet 2007</w:t>
      </w:r>
    </w:p>
    <w:p>
      <w:r>
        <w:t>IT: TAF C-793/2007 del 2 luglio 2007</w:t>
      </w:r>
    </w:p>
    <w:p>
      <w:pPr>
        <w:pStyle w:val="Heading2"/>
      </w:pPr>
      <w:r>
        <w:t>Regeste</w:t>
      </w:r>
    </w:p>
    <w:p>
      <w:r>
        <w:t>Einreise</w:t>
      </w:r>
    </w:p>
    <w:p>
      <w:pPr>
        <w:pStyle w:val="Heading2"/>
      </w:pPr>
      <w:r>
        <w:t>Erwägungen</w:t>
      </w:r>
    </w:p>
    <w:p>
      <w:r>
        <w:rPr>
          <w:b/>
        </w:rPr>
        <w:t>E. 1.1</w:t>
      </w:r>
    </w:p>
    <w:p>
      <w:r>
        <w:t>Verfügungen des BFM betreffend Einreisesperre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c Ziff. 1 des Bundesgesetzes vom 17. Juni 2005 über das Bundesgericht [BGG, SR 173.110]).</w:t>
      </w:r>
    </w:p>
    <w:p>
      <w:r>
        <w:rPr>
          <w:b/>
        </w:rPr>
        <w:t>E. 1.3</w:t>
      </w:r>
    </w:p>
    <w:p>
      <w:r>
        <w:t>Als Verfügungsadressat ist der Beschwerdeführer zur Anfechtung der erlassenen Einreisesperre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Die eidgenössische Behörde kann über unerwünschte Ausländer die Einreisesperre verhängen (Art. 13 Abs. 1 Satz 1 ANAG). Während der Einreisesperre ist dem Ausländer jeder Grenzübertritt ohne ausdrückliche Ermächtigung der verfügenden Behörde untersagt (Art. 13 Abs. 1 Satz 3 ANAG).</w:t>
      </w:r>
    </w:p>
    <w:p>
      <w:r>
        <w:rPr>
          <w:b/>
        </w:rPr>
        <w:t>E. 3.2</w:t>
      </w:r>
    </w:p>
    <w:p>
      <w:r>
        <w:t>Als "unerwünscht" im Sinne von Art. 13 Abs. 1 Satz 1 ANAG gelten nach ständiger Praxis Fremde, deren Vorleben bzw. konkretes Verhalten darauf schliessen lässt, dass sie nicht willens oder nicht fähig sind, sich in die geltende Ordnung einzufügen oder deren Fernhaltung im öffentlichen Interesse liegt (vgl. Verwaltungspraxis der Bundesbehörden [VPB] 63.1, 62.28, 60.4, 58.53; ferner Peter Sulger Büel, Vollzug von Fernhalte- und Entfernungsmassnahmen gegenüber Fremden nach dem Recht des Bundes und des Kantons Zürich, Diss. Zürich 1984 = Europäische Hochschulschriften, Reihe ll, Rechtswissenschaft, Bd. 352, Bern usw. 1984, S. 79 f. mit weiteren Nachweisen). Die Einreisesperre stellt aber keine Strafe im Sinne eines sozialethischen Unwerturteils, sondern eine präventivpolizeiliche Administrativmassnahme zum Schutz der öffentlichen Ordnung und Sicherheit dar (VPB 63.1, 62.28, 60.4, 58.53). Der unbestimmte Rechtsbegriff des "unerwünschten Ausländers" gemäss Art. 13 Abs. 1 Satz 1 ANAG ist dabei nach den üblichen Methoden dem Sinn und Zweck des Gesetzes entsprechend auszulegen (vgl. Fritz Gygi, Verwaltungrecht, Bern 1986, S. 147; Francesco Bertossa, Der Beurteilungsspielraum, Diss. Bern 1984, ASR Heft 489, S. 39).</w:t>
      </w:r>
    </w:p>
    <w:p>
      <w:r>
        <w:rPr>
          <w:b/>
        </w:rPr>
        <w:t>E. 4.1</w:t>
      </w:r>
    </w:p>
    <w:p>
      <w:r>
        <w:t>Die Vorinstanz begründet ihren Standpunkt mit vorsorglich armenpolizeilichen Überlegungen. Ausländerinnen und Ausländer, die mittellos sind, können als unerwünscht im Sinne von Art. 13 Abs. 1 Satz 1 ANAG gelten, weil in solchen Fällen oftmals die Gefahr besteht, dass sie auf sozialhilferechtliche Unterstützung angewiesen sind oder versucht sein könnten, ohne Bewilligung ein Erwerbseinkommen zu erzielen bzw. auf andere unerlaubte Weise zu Geldmitteln zu gelangen. Ihre Anwesenheit wird deshalb als potenzielle Gefährdung von Rechtsgütern betrachtet. Mit dem Begriff der Mittellosigkeit verknüpft die Praxis mithin die Möglichkeit der Unterstützung durch die öffentliche Hand, aber auch die Gefahr von Verstössen gegen fremdenpolizeiliche Vorschriften oder von sonstigem strafbarem Verhalten. Dies setzt eine gewisse Wahrscheinlichkeit voraus, dass die ausländische Person über keinerlei finanzielle Mittel verfügt, auf die sie im Bedarfsfall unverzüglich zurückgreifen könnte.</w:t>
      </w:r>
    </w:p>
    <w:p>
      <w:r>
        <w:rPr>
          <w:b/>
        </w:rPr>
        <w:t>E. 4.2</w:t>
      </w:r>
    </w:p>
    <w:p>
      <w:r>
        <w:t>Die in Asylverfahren entstandenen Fürsorge-, Ausreise- und Vollzugskosten sowie die Kosten von Rechtsmittelverfahren sind grundsätzlich rückerstattungspflichtig (Art. 85 Abs. 1 des Asylgesetzes vom 26. Juni 1998 [AsylG, SR 142.20]). Vorliegend steht fest, dass die Ausschaffungskosten (Aufenthalt im Kantonalgefängnis Frauenfeld, Flugticket, etc.) von der öffentlichen Hand übernommen wurden (vgl. den Vollzugsbericht der Kantonspolizei Thurgau vom 26. Januar 2007). Hinzu kommen die nicht näher bezifferten sonstigen Vollzugskosten, namentlich die Aufwendungen für die Papierbeschaffung und die Vorbereitung der Ausreise. Inwieweit Ausstände von den verschiedenen Rechtsmittelverfahren bestehen, ist nicht bekannt. Der Beschwerdeführer, der zum Zeitpunkt seiner Einreise noch minderjährig war, hat im Juli 2003 eine Anlehre als Beschichtungsmitarbeiter begonnen. Auf den 30. April 2004 wurde das Arbeitsverhältnis wieder aufgelöst, nach Darstellung des Parteivertreters aus gesundheitlichen Gründen, dem Arbeitgeber zufolge wegen ungenügender Arbeitsleistung und mangelnder Arbeitseinstellung (vgl. Kündigungsschreiben vom 30. März 2004). Ansonsten ging er während seiner Anwesenheit hierzulande nie einer Erwerbstätigkeit nach bzw. eine solche wurde ihm seither nicht mehr bewilligt. Auch gegenwärtig verfügt er weder über ein festes Einkommen noch über Vermögen (vgl. die Beschwerdeschrift vom 30. Januar 2007, Ziff. 7). Ebenso wenig liegen Unterstützungserklärungen von nahen Angehörigen vor, so dass davon auszugehen ist, dass der Betroffene vorderhand nicht in der Lage sein wird, für die diesbezüglichen Kosten aufzukommen. Dementsprechend sah sich das Migrationsamt des Kantons Thurgau am 23. November 2006 im Rahmen der Vollzugsunterstützung veranlasst, dem BFM ein Gesuch um Übernahme der Fürsorgekosten zu unterbreiten. Ob der Beschwerdeführer verschuldet oder unverschuldet nicht in der Lage war, seinen Aufenthalt in der Schweiz aus eigenen Mitteln zu bestreiten, spielt mit Blick auf die betroffenen Rechtsgüter keine Rolle. Relevant ist einzig, dass bei einer Wiedereinreise in die Schweiz - gestützt auf die aktuelle Aktenlage - ein armenrechtliches Risiko bestünde. Damit sind die Voraussetzungen für die Verhängung einer Einreisesperre gestützt auf Art. 13 Abs. 1 Satz 1 ANAG (Unerwünschtheit der ausländischen Person) erfüllt.</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5. Aufl., Zürich und St. Gallen 2006, S. 127 f.).</w:t>
      </w:r>
    </w:p>
    <w:p>
      <w:r>
        <w:rPr>
          <w:b/>
        </w:rPr>
        <w:t>E. 5.2</w:t>
      </w:r>
    </w:p>
    <w:p>
      <w:r>
        <w:t>Das öffentliche Interesse an der Fernhaltung ergibt sich ohne weiteres aus den vorangehenden Ausführungen. Was entgegenstehende private Interessen anbelangt, so wird geltend gemacht, durch die Einreisesperre würden für drei Jahre jegliche Kontakte des Beschwerdeführers zur Mutter als einziger wirklicher Bezugsperson unterbunden. Die Mutter kam im vergangenen Sommer dank der Heirat mit einem Schweizer Bürger in den Genuss einer Aufenthaltsbewilligung. Demgegenüber besitzt der Beschwerdeführer in der Schweiz keine Anwesenheitsberechtigung. Das Asylverfahren der inzwischen volljährigen Söhne ist rechtskräftig abgeschlossen. Am 24. Januar 2007 wurden die beiden in ihr Heimatland ausgeschafft. Der Beschwerdeführer hat zwar die Verlängerung seiner Anwesenheit nach Abschluss des Asylverfahrens unter einem anderen Status zu erwirken versucht (siehe das Gesuch vom 1. November 2006 um Erteilung einer Aufenthaltsbewilligung aus humanitären Gründen), das diesbezügliche Verfahren hat das Departement für Justiz- und Sicherheit des Kantons Thurgau mit Entscheid vom 2. Februar 2007 aber als gegenstandslos geworden abgeschrieben. Bei dieser Sachlage beschränken sich die persönlichen Kontakte zwischen dem Beschwerdeführer und seiner Mutter ohnehin auf gegenseitige Besuche, sei es im Heimatland der Betroffenen oder in der Schweiz. Daran würde sich auch dann nichts ändern, wenn über den Beschwerdeführer keine Einreisesperre verhängt worden wäre.</w:t>
      </w:r>
    </w:p>
    <w:p>
      <w:r>
        <w:rPr>
          <w:b/>
        </w:rPr>
        <w:t>E. 5.3</w:t>
      </w:r>
    </w:p>
    <w:p>
      <w:r>
        <w:t>Entgegen der Behauptung des Beschwerdeführers verhindert die bestehende Fernhaltemassnahme keinesfalls jeglichen Kontakt. In diesem Zusammenhang ist darauf hinzuweisen, dass die Einreisesperre nicht als absolutes Einreiseverbot ausgestaltet ist. Die Wirkungen besagter Fernhaltemassnahme äussern sich vielmehr darin, dass der massnahmebelastete Ausländer von den allgemeinen, für seine Personenkategorie geltenden Einreisebestimmungen ausgenommen wird, was zur Folge hat, dass er beim BFM eine besondere Bewilligung, die so genannte Suspension der Einreisesperre, einholen muss, wenn er in die Schweiz einreisen will (vgl. Art. 13 Abs. 1 letzter Satz ANAG). Mit der Suspension kann die Wirksamkeit der Einreisesperre auf begründetes Gesuch hin für eine begrenzte Zeit und zu bestimmten Zwecken ausgesetzt werden. Der ausländische Staatsangehörige wird mit anderen Worten einem besonderen Bewilligungs- und Kontrollregime in Bezug auf die Einreise, den Aufenthaltszweck und die Ausreise unterstellt. Die Notwendigkeit einer Suspension bedeutet zwar eine administrative Erschwernis, erlaubt dem Beschwerdeführer indessen - mit Einschränkungen - das Aufrechterhalten von Kontakten zu der in der Schweiz verbliebenen Mutter. Abgesehen davon könnte letztere ihre Söhne zwecks Pflege der familiären Beziehungen auch in Mazedonien besuchen, zumal sie ja aus diesem Land stammt und weitere Verwandte dort ansässig sind. Auch von daher erweisen sich die negativen Konsequenzen der vorinstanzlichen Verfügung als nicht sehr einschneidend. Eine wertende Gewichtung der privaten und öffentlichen Interessen führt deshalb zum Schluss, dass die auf drei Jahre befristete Einreisesperre eine verhältnismässige und angemessene Massnahme zum Schutz der öffentlichen Ordnung darstellt.</w:t>
      </w:r>
    </w:p>
    <w:p>
      <w:r>
        <w:rPr>
          <w:b/>
        </w:rPr>
        <w:t>E. 6</w:t>
      </w:r>
    </w:p>
    <w:p>
      <w:r>
        <w:t>Zusammenfassend ergibt sich, dass die angefochtene Verfügung im Lichte von Art. 49 VwVG nicht zu beanstanden ist. Die Beschwerde ist daher abzuweisen.</w:t>
      </w:r>
    </w:p>
    <w:p>
      <w:r>
        <w:rPr>
          <w:b/>
        </w:rPr>
        <w:t>E. 7</w:t>
      </w:r>
    </w:p>
    <w:p>
      <w:r>
        <w:t>Dem Ausgang des Verfahrens entsprechend wird der unterliegende Beschwerdeführer kostenpflichtig (Art. 63 Abs. 1 VwVG). Die Verfahrenskosten sind auf Fr. 500.-- festzusetzen (Art. 1, Art. 2 und Art. 3 Bst. b des Reglements vom 11. Dezember 2006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