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C-7934/2009 vom 28. Juni 2011</w:t>
      </w:r>
    </w:p>
    <w:p>
      <w:r>
        <w:t>Bundesverwaltungsgericht, 2011-06-28, FR</w:t>
      </w:r>
    </w:p>
    <w:p>
      <w:r>
        <w:rPr>
          <w:b/>
        </w:rPr>
        <w:t xml:space="preserve">Quelle: </w:t>
      </w:r>
      <w:r>
        <w:t>https://mcp.opencaselaw.ch/entscheid/bvger_C-7934_2009</w:t>
      </w:r>
    </w:p>
    <w:p>
      <w:r>
        <w:t>FR: TAF C-7934/2009 du 28 juin 2011</w:t>
      </w:r>
    </w:p>
    <w:p>
      <w:r>
        <w:t>IT: TAF C-7934/2009 del 28 giugno 2011</w:t>
      </w:r>
    </w:p>
    <w:p>
      <w:pPr>
        <w:pStyle w:val="Heading2"/>
      </w:pPr>
      <w:r>
        <w:t>Regeste</w:t>
      </w:r>
    </w:p>
    <w:p>
      <w:r>
        <w:t>Droit à la rente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compétent au jour de la décision litigieuse en raison du domicile à l'étranger du recourant (cf. pce 234), concernant l'assurance-invalidité peuvent être contestées devant le Tribunal administratif fédéral conformément à l'art. 69 al. 1 let. b de la loi fédérale du 19 juin 1959 sur l'assurance-invalidité (LAI, RS 831.20), en vigueur depuis le 1er janvier 2007 (RO 2006 2003; FF 2005 2899). Celui-ci est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(pce 1 TAF) et la forme prescrits (art. 60 LPGA et 52 PA), l'avance de frais fournie dans les délais prescrits (cf. pces 14 et 19 s. TAF), il est entré en matière sur le fond du recours.</w:t>
      </w:r>
    </w:p>
    <w:p>
      <w:r>
        <w:rPr>
          <w:b/>
        </w:rPr>
        <w:t>E. 3</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Conformément à cette jurisprudence, le Tribunal de céans peut se limiter à examiner si l'intéressé aurait eu droit à des prestations de l'assurance-invalidité à la date de la décision entreprise remplaçant la rente entière du recourant par une demi-rente d'invalidité, à savoir le 17 novembre 2009, marquant la limite dans le temps du pouvoir d'examen de l'autorité de recours.</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Le droit à la rente peut par conséquent être modifié non seulement en cas de changement sensible de l'état de santé, mais aussi pour d'autres raisons telle qu'une modification de la capacité de travail médico-théorique dans le cadre d'un état de santé resté identique, une modification significative des revenus de valide ou d'invalide ou un changement de la répartition des tâches lors d'un taux d'invalidité calculé sur la base de la méthode extraordinaire ou mixte (cf. ATF 130 V 343 consid. 3.5). En présence d'un changement notable de l'état de fait, il convient de réexaminer le droit à la rente sous tous ses aspects aussi bien en ce qui concerne le droit que les faits, sans être lié par la décision d'octroi de rente (arrêt du Tribunal fédéral 8C_72/2010 du 17 juin 2010 consid. 2). Il n'y a en revanche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5.2</w:t>
      </w:r>
    </w:p>
    <w:p>
      <w:r>
        <w:t>L'art. 88a al. 2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6.1</w:t>
      </w:r>
    </w:p>
    <w:p>
      <w:r>
        <w:t>Pour examiner si, dans un cas de révision, il y a eu une modification importante du degré d'invalidité au sens de l'art. 17 LPGA, le juge doit prendre généralement en considération l'influence de l'état de santé, voire d'autres facteurs,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6.2</w:t>
      </w:r>
    </w:p>
    <w:p>
      <w:r>
        <w:t>Dans la présente occurrence, le recourant, par décision du 19 juillet 1994, a été mis au bénéfice d'une rente entière d'invalidité avec effet au 1er décembre 1992. Deux procédures de révision d'office ont ensuite été menées. L'autorité inférieure a, par deux fois, par décisions des 11 décembre 1997 et 7 mars 2002 confirmé le droit du recourant à la rente entière d'invalidité. La question de savoir si le degré d'invalidité a subi depuis lors une modification doit donc être jugée en comparant les faits tels qu'ils se présentaient à l'époque de la décision du 7 mars 2002, dernière décision ayant examiné matériellement le droit à la rente, et ceux qui ont existé jusqu'au 17 novembre 2009, date de la décision concernant la rente principale portée céans ayant remplacé la rente entière dont bénéficiait le recourant par une demi-rente.</w:t>
      </w:r>
    </w:p>
    <w:p>
      <w:r>
        <w:rPr>
          <w:b/>
        </w:rPr>
        <w:t>E. 7.1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w:t>
      </w:r>
    </w:p>
    <w:p>
      <w:r>
        <w:rPr>
          <w:b/>
        </w:rPr>
        <w:t>E. 7.2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(ATF 125 V 352 consid. 3a et réf. cit.).</w:t>
      </w:r>
    </w:p>
    <w:p>
      <w:r>
        <w:rPr>
          <w:b/>
        </w:rPr>
        <w:t>E. 8.1</w:t>
      </w:r>
    </w:p>
    <w:p>
      <w:r>
        <w:t>En 1994, l'autorité inférieure avait considéré que le recourant n'était plus apte à reprendre son ancienne activité et lui avait reconnu un taux d'invalidité de 70%. L'OAIE avait dès lors accordé une rente entière à l'assuré avec effet au 1er décembre 1992. La situation clinique du recourant est par ailleurs restée inchangée jusqu'en 2002, puisque l'Office a, ensuite des révisions d'office de 1997 et 2002, maintenu le droit de A._______ à la rente entière d'invalidité. Dans le cadre de la procédure de révision initiée en 2008 qui a donné lieu à la décision litigieuse, divers documents médicaux ont été versés au dossier, en particulier les rapports d'expertise des Drs Clarke et Fauchère respectivement des 27 août 2008 et 27 février 2009. Le Dr Berrut du service médical de l'OAIE, dans sa prise de position du 31 mars 2009, a ainsi retenu, en se fondant essentiellement sur ces expertises, que l'état de santé du recourant s'était stabilisé au 1er septembre 1993 et n'avait plus évolué depuis. La révision de la rente ne saurait, partant, se fonder sur une modification notable de l'état de santé de l'assuré.</w:t>
      </w:r>
    </w:p>
    <w:p>
      <w:r>
        <w:rPr>
          <w:b/>
        </w:rPr>
        <w:t>E. 8.2</w:t>
      </w:r>
    </w:p>
    <w:p>
      <w:r>
        <w:t>Il convient dès lors d'examiner si, comme l'avance l'autorité inférieure, la révision peut se justifier au regard d'une amélioration factuelle de la capacité de gain du recourant. L'autorité inférieure, dans la motivation de sa décision du 17 novembre 2009 et sa réponse du 26 mai 2010, s'est essentiellement appuyée sur les constatations de fait et l'appréciation médicale du Dr Fauchère, qu'elle a faites siennes. L'Office a donc retenu que l'assuré exerçait à ce jour une activité lucrative indépendante qu'il a aménagée de manière adaptée à son état de santé à hauteur de quatre heures par jour et que cette activité correspond à une profession qui serait médicalement exigible de sa part. L'autorité a ainsi conclu à une capacité de travail résiduelle actuelle du recourant de 50%. Ce dernier, pour sa part, conteste ces conclusions et estime que son droit à la rente entière d'invalidité doit être maintenu au-delà du 1er janvier 2010.</w:t>
      </w:r>
    </w:p>
    <w:p>
      <w:r>
        <w:rPr>
          <w:b/>
        </w:rPr>
        <w:t>E. 8.3</w:t>
      </w:r>
    </w:p>
    <w:p>
      <w:r>
        <w:t>En l'occurrence, maints indices laissent penser que le recourant exerce son activité lucrative dans une mesure supérieure à 50%: en particulier le fait qu'il soit inscrit au Registre du commerce en qualité d'associé gérant de l'entreprise Z._______ Sàrl (pce 152), le rapport d'Investsecur SA du 9 juillet 2003 selon laquelle il exercerait une activité à plein temps avec un emploi du temps très chargé (pce 148 annexe H, p. 6 s.), les déclarations univoques de diverses personnes appelées à témoigner dans le cadre d'une procédure pénale (pce 148 annexe I). Le Dr Fauchère dans son rapport d'expertise du 27 février 2009 indique en revanche une activité à 50% (pce 313) et le recourant même a à plusieurs reprises déclaré travailler environ 80 heures par mois (pce 147). Ce faisceau d'indices ne permet toutefois pas d'établir, avec un degré de vraisemblance suffisante, que le recourant disposerait d'une capacité de travail de 50%, à tout le moins. Le recourant lui-même, d'une part, conteste expressément être apte à travailler à mi-temps avec un plein rendement et a à réitérées reprises fait état d'un degré d'activité moindre. Il a en outre notamment déclaré ne pas travailler le mercredi, s'être aménagé un coin repos sur son lieu de travail et s'appuyer sur ses collaborateurs (cf. pce 120, 313 p. 8 s.). Ces éléments d'appréciation, rapportés par le Dr Fauchère, mais dépourvus de toute preuve objective, ne sauraient simplement être occultés, comme l'a fait l'administration, et font douter que le recourant puisse travailler à mi-temps avec un rendement correspondant. Les déclarations des détectives privés mandatés et des témoins entendus en audience, d'autre part, datent quelque peu et ne sont pas toujours concordantes ni convaincantes (cf. ordonnance de la Chambre d'accusation du 21 avril 2010). Le tribunal de céans considère, par voie de conséquence, que l'existence d'une capacité de gain résiduelle de 50%, comme motif de révision au sens de l'art. 17 LPGA, n'est pas prouvé à satisfaction de droit en l'espèce.</w:t>
      </w:r>
    </w:p>
    <w:p>
      <w:r>
        <w:rPr>
          <w:b/>
        </w:rPr>
        <w:t>E. 8.4</w:t>
      </w:r>
    </w:p>
    <w:p>
      <w:r>
        <w:t>Le recours doit, eu égard à ce qui précède, être partiellement admis en ce sens que les décisions attaquées doivent être annulées et la cause renvoyée à l'OAIE, afin que celui-ci prenne une nouvelle décision, après avoir procédé à une instruction complémentaire (art. 61 PA). L'autorité inférieure établira en particulier le revenu que percevait le recourant avant la survenance de l'invalidité, ainsi que son taux d'activité et de rendement réel actuel. Dans le cadre de l'instruction complémentaire, il faudra également examiner quel était, à la date de la décision du 17 novembre 2009, le statut de l'intéressé. S'il est établi que l'assuré travaillait comme dépendant, la perte de gain sera évaluée selon la méthode générale (voir ci-dessus consid. 7.1). Dans le cas contraire, s'il devait être établi que l'assuré travaillait comme indépendant, l'autorité inférieure devra procéder à une comparaison des revenus du recourant, selon la méthode extraordinaire, en comparant les tâches effectuées et pouvant être effectuées avant et après invalidité. À ce propos, il convient de relever que lorsque l'on ne peut déterminer ou évaluer sûrement les revenus à comparer avant et après invalidité chez un assuré exerçant une activité lucrative indépendante, il faut, en s'inspirant de la méthode spécifique pour les non-actifs, procéder à une comparaison des activités et évaluer le degré d'invalidité d'après l'incidence de la capacité de rendement amoindrie sur la situation économique concrète. C'est la méthode dite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selon lequel l'invalidité, pour cette catégorie d'assurés, doit être déterminée d'après l'incapacité de gain (ATF 128 V 29 consid. 1; arrêt du Tribunal fédéral I 288/06 du 20 avril 2007 consid. 3.2.4; cf. arrêt du Tribunal de céans C-748/2007 du 1er novembre 2009 consid. 6.2.2.).</w:t>
      </w:r>
    </w:p>
    <w:p>
      <w:r>
        <w:rPr>
          <w:b/>
        </w:rPr>
        <w:t>E. 9</w:t>
      </w:r>
    </w:p>
    <w:p>
      <w:r>
        <w:t>Vu le sort du litige, il n'est pas nécessaire de se prononcer sur la demande de suspension de procédure formulée dans le mémoire de recours (cf. ci-dessus lettre E).</w:t>
      </w:r>
    </w:p>
    <w:p>
      <w:r>
        <w:rPr>
          <w:b/>
        </w:rPr>
        <w:t>E. 10.1</w:t>
      </w:r>
    </w:p>
    <w:p>
      <w:r>
        <w:t>La partie qui a formé recours est réputée avoir obtenu gain de cause lorsque l'affaire est renvoyée à l'administration pour instruction complémentaire et nouvelle décision (ATF 132 V 215 consid. 6.2).</w:t>
      </w:r>
    </w:p>
    <w:p>
      <w:r>
        <w:rPr>
          <w:b/>
        </w:rPr>
        <w:t>E. 10.2</w:t>
      </w:r>
    </w:p>
    <w:p>
      <w:r>
        <w:t>Il ne doit donc pas être perçu de frais de procédure (art. 63 al. 1 et 2 PA, applicable par renvoi de l'art. 37 LTAF). L'avance de frais de Fr. 300.-, versée par le recourant au cours de l'instruction, doit ainsi lui être remboursée.</w:t>
      </w:r>
    </w:p>
    <w:p>
      <w:r>
        <w:rPr>
          <w:b/>
        </w:rPr>
        <w:t>E. 10.3</w:t>
      </w:r>
    </w:p>
    <w:p>
      <w:r>
        <w:t>Les art. 64 PA et 7 du règlement du 21 février 2008 concernant les frais, dépens et indemnités fixés par le Tribunal administratif fédéral (FITAF; RS 173.320.2) - applicables en l'espèce en vertu de l'art. 53 al. 2 in fine LTAF -,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en instance de recours a essentiellement consisté dans la rédaction d'un recours de 35 pages, ainsi que d'une réplique de 16 pages également. Il se justifie, eu égard à ce qui précède, de lui allouer une indemnité à titre de dépens de Fr. 2'500.-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