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C-7925/2009 vom 3. Dezember 2010</w:t>
      </w:r>
    </w:p>
    <w:p>
      <w:r>
        <w:t>Bundesverwaltungsgericht, 2010-12-03, DE</w:t>
      </w:r>
    </w:p>
    <w:p>
      <w:r>
        <w:rPr>
          <w:b/>
        </w:rPr>
        <w:t xml:space="preserve">Quelle: </w:t>
      </w:r>
      <w:r>
        <w:t>https://mcp.opencaselaw.ch/entscheid/bvger_C-7925_2009</w:t>
      </w:r>
    </w:p>
    <w:p>
      <w:r>
        <w:t>FR: TAF C-7925/2009 du 3 décembre 2010</w:t>
      </w:r>
    </w:p>
    <w:p>
      <w:r>
        <w:t>IT: TAF C-7925/2009 del 3 dicembre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Visumverfahren und über die Ein- und Ausreise finden Anwendung, sofern die Schengen-Assoziierungsabkommen keine abweichenden Bestimmungen enthalten (vgl. Art. 2 Abs. 4 und 5 des Bundesgesetzes vom 16. Dezember 2005 über die Ausländerinnen und Ausländer [AuG, SR 142.20]).</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7</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Thailand zu diesen Staaten zählt, unterliegt die Gesuchstellerin der Visumpflicht.</w:t>
      </w:r>
    </w:p>
    <w:p>
      <w:r>
        <w:rPr>
          <w:b/>
        </w:rPr>
        <w:t>E. 8.1</w:t>
      </w:r>
    </w:p>
    <w:p>
      <w:r>
        <w:t>In seiner Replik rügt der Beschwerdeführer, der Grund für die Verweigerung des Besuchsvisums sei im Verlaufe des Verfahrens geändert worden. Während sich die Schweizerische Auslandvertretung noch auf den Standpunkt gestellt habe, der Zweck des Aufenthalts sei nicht klar, vertrete die Vorinstanz nunmehr die Auffassung, es bestehe Gefahr für eine nicht fristgerechte Wiederausreise. Die Rüge ist allerdings aktenwidrig. In ihrer an die Adresse der Vorinstanz gerichteten Formular-Stellungnahme vom 28. Oktober 2009 hat die Schweizerische Vertretung in Bangkok die Rubriken beider Hinde-rungsgründe angekreuzt. Dessen unbesehen ist zu bedenken, dass in aller Regel eine gewisse Wechselwirkung zwischen den genannten Hinderungsgründen bestehen dürfte.</w:t>
      </w:r>
    </w:p>
    <w:p>
      <w:r>
        <w:rPr>
          <w:b/>
        </w:rPr>
        <w:t>E. 8.2</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8.3</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8.4</w:t>
      </w:r>
    </w:p>
    <w:p>
      <w:r>
        <w:t>In Thailand sind unzweifelhaft breite Bevölkerungsschichten mit kargen ökonomischen und sozialen Lebensbedingungen konfrontiert. Vom Druck zur wirtschaftlichen Existenzsicherung sind häufig Frauen besonders betroffen, die mit ihrem Einkommen für die Überlebenschancen ihrer eigenen Haushalte und ganzer Gemeinden sorgen müssen und deren Arbeitsplätze in Zeiten angespannter wirtschaftlicher Verhältnisse - je nach Sektor - besonders gefährdet sind. Entsprechend hat die wirtschaftlich motivierte Emigration von Thailänderinnen nach 1997 zugenommen (Quelle: Schlussbericht vom 13. Mai 2002 der Kommission des Deutschen Bundestags zum Thema Globalisierung der Weltwirtschaft - Herausforderungen und Antworten, Ziff. 6.2.2.2 S. 317 f., online abrufbar als Bundesdrucksache 14/9200 unter www.bundestag.de &gt; Dokumente &amp; Recherche &gt; Drucksachen).</w:t>
      </w:r>
    </w:p>
    <w:p>
      <w:r>
        <w:rPr>
          <w:b/>
        </w:rPr>
        <w:t>E. 8.5</w:t>
      </w:r>
    </w:p>
    <w:p>
      <w:r>
        <w:t>Im Falle der Schweiz wird die Tendenz zur Imigration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w:t>
      </w:r>
    </w:p>
    <w:p>
      <w:r>
        <w:rPr>
          <w:b/>
        </w:rPr>
        <w:t>E. 8.6</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9.1</w:t>
      </w:r>
    </w:p>
    <w:p>
      <w:r>
        <w:t>Bei der Gesuchstellerin handelt es sich um eine 33-jährige, gemäss ihren eigenen Angaben ledige Frau und Mutter eines 14-jährigen Sohnes. Als Heimatadresse gab sie die im Süden Thailands gelegene Provinz Songkhla an, wo sie gemäss den Feststellungen des Beschwerdeführers zusammen mit ihrem Sohn und ihren Eltern ein eigenes Haus bewohnt. Aus dem Kindsverhältnis kann sicherlich auf eine gewisse familiäre Verantwortlichkeit geschlossen werden. Diese hat die Gesuchstellerin allerdings schon in der Vergangenheit nicht daran gehindert, sich während längerer Zeit alleine ins Ausland zu begeben und das Kind in der Obhut von Verwandten zurückzulassen. Es kann als notorisch betrachtet werden, dass die Existenz eigener Kinder gerade dort nicht an einer Emigration hindert, wo diese vorab durch wirtschaftliche Gründe bedingt ist. Denn ein solcher Entschluss ist in aller Regel mit der Hoffnung verbunden, nahe Angehörige aus dem Ausland besser unterstützen und später allenfalls nachziehen zu können.</w:t>
      </w:r>
    </w:p>
    <w:p>
      <w:r>
        <w:rPr>
          <w:b/>
        </w:rPr>
        <w:t>E. 9.2</w:t>
      </w:r>
    </w:p>
    <w:p>
      <w:r>
        <w:t>Gemäss ihren eigenen Angaben im Antragsformular und den Feststellungen der Schweizerischen Vertretung in Bangkok geht die Gesuchstellerin keiner Erwerbstätigkeit nach. Wie sie ihren Lebensunterhalt bestreitet und in welchen wirtschaftlichen Verhältnissen sie sich befindet, ist nicht bekannt. Nach Einschätzung der Botschaft in der bereits erwähnten Formular-Stellungnahme verfügt sie nicht über genügende eigene finanzielle Mittel. Der Beschwerdeführer selbst scheint über die konkreten Verhältnisse auch keine genaueren Kenntnisse zu haben, beschränkt er sich doch in seiner Replik auf die vage Feststellung, wonach er während eines zehntägigen Besuchs im Februar 2010 nicht den Eindruck gehabt hätte, dass die Familie materiell schlecht gestellt wäre. Dass nicht von besonders vorteilhaften Verhältnissen ausgegangen werden kann, ergibt sich schon aus der Lebensgestaltung der Gesuchstellerin in den letzten Jahren. So soll sie (gemäss der mehrfach erwähnten Formular-Stellungnahme der Schweizerischen Vertretung in Bangkok) in einem nicht genannten Zeitraum als Baby-Sitterin in Malaysia gearbeitet haben. Zwischen Dezember 2007 und Juli 2008 war sie als Cabaret-Tänzerin in der Schweiz erwerbstätig. Gerade eine Tätigkeit der letzteren Art dürfte von den betroffenen Frauen in aller Regel nur aus einer drückenden wirtschaftlichen Not heraus überhaupt gewählt werden. Alles in allem sind demnach auch in beruflicher bzw. wirtschaftlicher Hinsicht bei der Gesuchstellerin keine Bindungen oder gar Verpflich-tungen gegenüber dem angestammten Umfeld ersichtlich, die das Risiko einer Emigration als gering erscheinen liessen.</w:t>
      </w:r>
    </w:p>
    <w:p>
      <w:r>
        <w:rPr>
          <w:b/>
        </w:rPr>
        <w:t>E. 9.3</w:t>
      </w:r>
    </w:p>
    <w:p>
      <w:r>
        <w:t>Aus dem Umstand schliesslich, dass die Gesuchstellerin die Schweiz mit Ablauf ihrer Bewilligung als Cabaret-Tänzerin im Sommer 2008 anstandslos verlassen hat und in ihre Heimat zurückgekehrt ist, kann der Beschwerdeführer nichts Entscheidendes für sich ableiten. Denn es ist nach dem bisher Gesagten nicht ohne weiteres von einer identischen oder auch nur vergleichbaren Situation auszugehen.</w:t>
      </w:r>
    </w:p>
    <w:p>
      <w:r>
        <w:rPr>
          <w:b/>
        </w:rPr>
        <w:t>E. 9.4</w:t>
      </w:r>
    </w:p>
    <w:p>
      <w:r>
        <w:t>Vor dem aufgezeigten persönlichen und allgemeinen Hintergrund durfte die Vorinstanz annehmen, dass keine hinreichende Gewähr für eine fristgerechte und anstandslose Wiederausreise der Gesuchstellerin nach einem Besuchsaufenthalt besteht. An dieser Beurteilung vermag der Hinweis des Beschwerdeführers auf die von ihm eingegangene Verpflichtungserklärung nichts zu ändern. Diese umfasst ausschliesslich das Risiko ungedeckter Kosten im Zusammenhang mit dem beabsichtigten Besuchsaufenthalt. Demgegenüber kann der Beschwerdeführer in seiner Rolle als Gastgeber für ein bestimmtes Tun oder Unterlassen seines Gastes nicht rechtswirksam einstehen (vgl. zum Ganzen BVGE 2009/27 E. 9).</w:t>
      </w:r>
    </w:p>
    <w:p>
      <w:r>
        <w:rPr>
          <w:b/>
        </w:rPr>
        <w:t>E. 10</w:t>
      </w:r>
    </w:p>
    <w:p>
      <w:r>
        <w:t>Aus vorstehenden Erwägungen folgt, dass die angefochtene Verfügung im Lichte von Art. 49 VwVG nicht zu beanstanden ist. Die Beschwerde ist daher abzuweisen.</w:t>
      </w:r>
    </w:p>
    <w:p>
      <w:r>
        <w:rPr>
          <w:b/>
        </w:rPr>
        <w:t>E. 11</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