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C-7925/2008 vom 8. März 2010</w:t>
      </w:r>
    </w:p>
    <w:p>
      <w:r>
        <w:t>Bundesverwaltungsgericht, 2010-03-08, FR</w:t>
      </w:r>
    </w:p>
    <w:p>
      <w:r>
        <w:rPr>
          <w:b/>
        </w:rPr>
        <w:t xml:space="preserve">Quelle: </w:t>
      </w:r>
      <w:r>
        <w:t>https://mcp.opencaselaw.ch/entscheid/bvger_C-7925_2008</w:t>
      </w:r>
    </w:p>
    <w:p>
      <w:r>
        <w:t>FR: TAF C-7925/2008 du 8 mars 2010</w:t>
      </w:r>
    </w:p>
    <w:p>
      <w:r>
        <w:t>IT: TAF C-7925/2008 del 8 marzo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LEtr) et ayant fait l'objet d'une interdiction d'entrée sont en principe inscrites aux fins de non-admission dans le Système d'information Schengen (ci-après : SIS ;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w:t>
      </w:r>
    </w:p>
    <w:p>
      <w:r>
        <w:rPr>
          <w:b/>
        </w:rPr>
        <w:t>E. 4.1</w:t>
      </w:r>
    </w:p>
    <w:p>
      <w:r>
        <w:t>Selon l'art. 67 al. 1 LEtr, l'ODM peut interdire l'entrée en Suisse à un étranger s'il a attenté de manière grave ou répétée à la sécurité et l'ordre publics en Suisse ou à l'étranger ou les a mis en danger (let. a), s'il a occasionné des coûts en matière d'aide sociale (let. b), s'il a été renvoyé ou expulsé (let. c) ou s'il a été placé en détention en phase préparatoire, en détention en vue de l'exécution du renvoi ou de l'expulsion ou en détention pour insoumission (let. d). Ces conditions sont alternatives. L'interdiction d'entrée est limitée dans le temps. Elle peut toutefois être prononcée pour une durée illimitée dans les cas graves (art. 67 al. 3 LEtr). Durant la durée de validité de la décision d'interdiction d'entrée, l'étranger ne peut pénétrer sur les territoires de la Confédération helvétique et de la Principauté du Liechtenstein (cf. arrêts du Tribunal administratif fédéral C-8229/2008 du 8 juillet 2009 consid. 4.1, C-5422/2008 du 10 juin 2009 consid. 6.2 et C-707/2008 du 18 mars 2009 consid. 4.2). Si des raisons majeures le justifient, la décision d'interdiction d'entrée peut être provisoirement suspendue (art. 67 al. 4 LEtr).</w:t>
      </w:r>
    </w:p>
    <w:p>
      <w:r>
        <w:rPr>
          <w:b/>
        </w:rPr>
        <w:t>E. 4.2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L'interdiction d'entrée, prévue à l'art. 67 al. 1 let. a LEtr, permet d'empêcher l'entrée ou le retour en Suisse d'un étranger dont le séjour en Suisse est indésirable (cf. Message précité, p. 3568). Elle n'est pas considérée comme une peine sanctionnant un comportement déterminé, mais une mesure ayant pour but de prévenir une atteinte à la sécurité et à l'ordre publics. Pour prononcer pareille mesure, il faudra pouvoir établir un pronostic défavorable à ce sujet. Un tel pronostic ne devrait en principe pas être possible lorsque les motifs qui ont conduit l'intéressé à mal agir ont disparu (cf. MARC SPESCHA / HANSPETER THÜR / ANDREAS ZÜND / PETER BOLZLI, Migrationsrecht, Zurich 2009, ad. art. 67 LEtr., ch. 2; cf. également arrêt du Tribunal administratif fédéral C-707/2008 du 18 mars 2009 consid. 4.1).</w:t>
      </w:r>
    </w:p>
    <w:p>
      <w:r>
        <w:rPr>
          <w:b/>
        </w:rPr>
        <w:t>E. 4.3</w:t>
      </w:r>
    </w:p>
    <w:p>
      <w:r>
        <w:t>En application de l'art. 81 OASA, les autorités cantonales peuvent déposer une demande auprès de l'ODM afin qu'il ordonne une interdiction d'entrée.</w:t>
      </w:r>
    </w:p>
    <w:p>
      <w:r>
        <w:rPr>
          <w:b/>
        </w:rPr>
        <w:t>E. 4.4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Peter Uebersax/Beat Rudin/Thomas Hugi Yar/Thomas Geiser [éd.], Ausländerrecht, Eine umfassende Darstellung der Rechtsstellung von Ausländerrinnen und Ausländern in der Schweiz von A(syl) bis Z(ivilrecht), 2ème éd., Bâle 2009, ch. 8.80 p. 356).</w:t>
      </w:r>
    </w:p>
    <w:p>
      <w:r>
        <w:rPr>
          <w:b/>
        </w:rPr>
        <w:t>E. 5</w:t>
      </w:r>
    </w:p>
    <w:p>
      <w:r>
        <w:t>En l'occurrence, l'ODM a prononcé à l'encontre de X._______ une décision d'interdiction d'entrée fondée sur l'art. 67 al. 1 let. a LEtr, estimant que le recourant avait porté atteinte, en raison de son comportement qui avait donné lieu à de graves condamnations, à la sécurité et l'ordre publics.</w:t>
      </w:r>
    </w:p>
    <w:p>
      <w:r>
        <w:rPr>
          <w:b/>
        </w:rPr>
        <w:t>E. 5.1</w:t>
      </w:r>
    </w:p>
    <w:p>
      <w:r>
        <w:t>Dans le cas d'espèce, il est établi que l'intéressé a occupé les autorités judiciaires suisses à de nombreuses reprises durant son séjour en ce pays (cf. en fait, let. B, D, F et H). Ainsi, il a été condamné entre les mois de septembre 2000 et novembre 2008 à des peines de plus en plus lourdes : le 21 septembre 2000, une amende pour contravention à la LStup; le 10 mai 2002, une peine d'emprisonnement de cinq mois avec sursis durant deux ans pour lésions corporelles simples qualifiées, dommages à la propriété et infractions à la loi fédérale sur les armes, les accessoires d'armes et les munitions; le 25 octobre 2005, une peine ferme de six mois d'emprisonnement pour rixe et agression; le 20 novembre 2006, une peine d'un mois d'emprisonnement pour pour violation simple des règles de la circulation routière, ivresse simple, vol d'usage et conduite malgré le retrait du permis de conduire; le 30 avril 2007, une peine de quatre ans de réclusion pour vol, crime manqué d'extorsion qualifiée, contravention à la LStup, violation simple des règles de circulation, ivresse au volant qualifiée, incapacité de conduire, vol d'usage, circulation malgré un retrait du permis de conduire, peine partiellement complémentaire à celle prononcée le 25 octobre 2005. Enfin, le recourant a encore été condamné le 19 novembre 2008 à quinze jours de peine privative de liberté ferme pour infraction à la LSEE et contravention à la LStup. Nonobstant les allégations de l'intéressé dans son recours tendant à minimiser les infractions relevées par l'ODM dans la décision querellée, le Tribunal de céans ne saurait faire abstraction des nombreux délits et contraventions commis par l'intéressé et du comportement de ce dernier qui, malgré une première condamnation avec sursis, n'a guère modifié son attitude et a continué à enfreindre la loi jusqu'au prononcé d'une peine de réclusion, voire même après son évasion, puisqu'il a été condamné après son interpellation du 1er juin 2008.</w:t>
      </w:r>
    </w:p>
    <w:p>
      <w:r>
        <w:rPr>
          <w:b/>
        </w:rPr>
        <w:t>E. 5.2</w:t>
      </w:r>
    </w:p>
    <w:p>
      <w:r>
        <w:t>Certes, l'intéressé, dans ses observations du 17 avril 2009, fait valoir que le Tribunal correctionnel de Lausanne avait, dans son jugement du 26 septembre 2006, assorti du sursis l'expulsion prononcée à son endroit, « lui accordant ainsi sa confiance » et qu'il était choquant de constater que la décision pénale et la décision administrative, tout en se fondant sur le même état de fait, étaient contradictoires. Il importe à cet égard de rappeler qu'en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L'autorité de police des étrangers s'inspire en effet de considérations différentes de celles qui guident l'autorité pénale. Ainsi, la décision du juge pénal d'assortir la peine prononcée d'un sursis, d'ordonner ou non l'expulsion d'un condamné à l'étranger en application de l'ancien art. 55 du Code pénal suisse du 21 décembre 1937 (CP, RS 311.0), ou de l'ordonner en l'assortissant d'un sursis, est dictée, au premier chef, par des considérations tirées des perspectives de réinsertion sociale de l'intéressé ;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(cf. ATF 130 II 493 consid. 4.2 et jurisprudence citée). En l'occurrence, l'autorité de police des étrangers doit résoudre la question de savoir si le cas est grave d'après les critères en droit des étrangers, en examinant notamment si les faits reprochés à l'intéressé sont établis ou non. Sur ce point, force est de constater que X._______ a non seulement commis les actes pour lesquels il a été condamné en n'hésitant pas à porter atteinte à l'intégrité physique de ses victimes en les agressant à mains nues ou avec une arme et en mettant en danger les autres usagers de la route à plusieurs reprises en prenant le volant dans un état d'incapacité de conduire lié à l'alcool et aux drogues, mais qu'il a aussi démontré, par ses condamnations répétées entre 2002 et 2008, qu'il méprisait les décisions rendues à son endroit et qu'il n'avait pas l'intention de changer d'attitude malgré le sursis qui lui avait été accordé lors de sa première peine en 2002. Il est dès lors justifié que les autorités administratives interviennent avec rigueur et fermeté (cf. ALAIN WURZBURGER, La jurisprudence récente du Tribunal fédéral en matière de police des étrangers, RDAF 1997, p. 308 et arrêt cité à la note 143).</w:t>
      </w:r>
    </w:p>
    <w:p>
      <w:r>
        <w:rPr>
          <w:b/>
        </w:rPr>
        <w:t>E. 5.3</w:t>
      </w:r>
    </w:p>
    <w:p>
      <w:r>
        <w:t>Par conséquent, l'autorité de céans juge que l'intéressé représente un danger pour la sécurité et l'ordre publics, de sorte qu'il se justifie de prononcer une interdiction d'entrée à son encontre. L'intérêt de la Confédération commande de maintenir éloignés de son territoire les ressortissants étrangers ayant commis des crimes ou des délits dans leur pays d'origine ou à l'étranger, afin de prévenir la commission d'infractions sur le sol helvétique et d'assurer la protection de la collectivité. C'est dès lors à raison que l'autorité intimée a jugé que X._______ avait attenté à la sécurité et à l'ordre publics au sens de l'art. 67 al. 1 let. a LEtr.</w:t>
      </w:r>
    </w:p>
    <w:p>
      <w:r>
        <w:rPr>
          <w:b/>
        </w:rPr>
        <w:t>E. 6.1</w:t>
      </w:r>
    </w:p>
    <w:p>
      <w:r>
        <w:t>Dans son recours du 10 décembre 2008, l'intéressé s'est prévalu de l'art. 8 CEDH, en déclarant que la mesure d'éloignement prononcée à son encontre portait atteinte aux relations « étroites, effectives et intactes » qu'il entretenait avec ses parents, ainsi qu'avec ses frère et soeur, tous titulaires d'autorisations d'établissement dans le canton de Vaud.</w:t>
      </w:r>
    </w:p>
    <w:p>
      <w:r>
        <w:rPr>
          <w:b/>
        </w:rPr>
        <w:t>E. 6.2</w:t>
      </w:r>
    </w:p>
    <w:p>
      <w:r>
        <w:t>Un étranger peut, selon les circonstances, se prévaloir du droit au respect de sa vie privée et familiale garanti par cette disposition conventionnelle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131 II 265 consid. 5, p. 269; 130 II 281 consid. 3.1, p. 285; Wurzburger, op. cit. , p. 285). D'après la jurisprudence, les relations familiales qui peuvent fonder, en vertu de l'art. 8 par. 1 CEDH, un droit à une autorisation de police des étrangers sont avant tout les rapports entre époux ainsi qu'entre parents et enfants mineurs vivant ensemble (ATF 129 II 11 consid. 2, p. 13; 127 II 60 consid. 1d/aa, p. 65). L'art. 13 al. 1 de la Constitution fédérale de la Confédération suisse du 18 avril 1999 (Cst.; RS 101) garantit la même protection (ATF 129 II 215 consid. 4.2, pp. 218/219). Le droit au respect de la vie privée et familiale garanti par l'art. 8 CEDH n'est cependant pas absolu, en ce sens qu'une ingérence dans l'exercice de ce droit est possible selon l'art. 8 par. 2 CEDH, pour autant que celle-ci soit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125 II 633 consid. 2e).</w:t>
      </w:r>
    </w:p>
    <w:p>
      <w:r>
        <w:rPr>
          <w:b/>
        </w:rPr>
        <w:t>E. 6.3</w:t>
      </w:r>
    </w:p>
    <w:p>
      <w:r>
        <w:t>Il est à noter que l'art. 8 CEDH ne protège les relations familiales existant au sein d'une fratrie que s'il existe un lien de dépendance avec la personne ayant un droit de présence en Suisse, par exemple en cas de handicaps ou de maladie grave (cf. ATF 120 Ib 257, consid. 1d et 1e). Dans la mesure où l'intéressé n'a pas allégué, ni démontré qu'il se trouvait dans un lien de dépendance avec les membres de sa famille domiciliés en Suisse, notamment en raison d'un état de santé gravement altéré, les conditions d'application de l'article précité ne sont pas réalisées.</w:t>
      </w:r>
    </w:p>
    <w:p>
      <w:r>
        <w:rPr>
          <w:b/>
        </w:rPr>
        <w:t>E. 6.4</w:t>
      </w:r>
    </w:p>
    <w:p>
      <w:r>
        <w:t>Enfin, une ingérence dans l'exercice du droit au respect de la vie familiale de X._______ s'avère en tout état de cause conforme à l'art. 8 par. 2 CEDH, compte tenu du comportement répréhensible de l'intéressé. D'une part, ce dernier a porté atteinte à l'intégrité physique de ses victimes en les agressant à mains nues ou avec une arme (cf. ordonnance du 10 mai 2002, jugements des 25 octobre 2005 et 26 septembre 2006, ce dernier étant confirmé sur appel le 30 avril 2007; let. D et F supra) et a violé gravement les règles de la circulation routière à plusieurs reprises en prenant le volant dans un état d'incapacité de conduire lié à l'alcool et aux drogues et nonobstant un retrait de permis (cf. sur ce point jugement du 26 septembre 2006, confirmé sur appel le 30 avril 2007, et ordonnance du 20 novembre 2006; let. F supra). Un tel comportement ne saurait être relativisé, contrairement à ce que semble soutenir le prénommé dans son recours du 10 décembre 2008. En effet, ces éléments démontrent qu'il est pour le moins réticent à se soumettre à l'ordre juridique suisse et aux injonctions qui en découlent. D'autre part, en dépit des multiples condamnations dont il a fait l'objet entre 2002 et 2008 (dont notamment pour lésions corporelles simples qualifiées, dommages à la propriété, infractions à la loi fédérale sur les armes, les accessoires d'armes et les munitions, rixe et agression, vol d'usage, vol, crime manqué d'extorsion qualifiée), des peines fermes prononcées à son encontre par les autorités pénales, X._______ ne semble pas avoir pris conscience de ses actes, comme l'a relevé le Juge d'application des peines en soulignant le mépris et l'insensibilité certains de l'intéressé face aux interventions de l'autorité et à la menace de la sanction (cf. jugement du 27 février 2007, p. 3), attitude qui est confirmée par son évasion des établissements pénitentiaires de Bellechasse en 2007. Même si l'intéressé purge actuellement le solde de ses condamnations, c'est uniquement en raison de son interpellation le 1er juin 2008 par la police et non en raison d'un repentir qui l'aurait amené à se livrer à la justice pour achever l'exécution de sa peine.</w:t>
      </w:r>
    </w:p>
    <w:p>
      <w:r>
        <w:rPr>
          <w:b/>
        </w:rPr>
        <w:t>E. 6.5</w:t>
      </w:r>
    </w:p>
    <w:p>
      <w:r>
        <w:t>Vu ce qui précède, force est de constater que la décision querellée ne viole pas l'art. 8 CEDH et que le recourant ne peut en tirer aucun droit pour s'opposer à la mesure d'éloignement prononcée à son encontre.</w:t>
      </w:r>
    </w:p>
    <w:p>
      <w:r>
        <w:rPr>
          <w:b/>
        </w:rPr>
        <w:t>E. 7.1</w:t>
      </w:r>
    </w:p>
    <w:p>
      <w:r>
        <w:t>Il convient encore d'examiner si la mesure d'éloignement prise par l'ODM satisfait aux principes de la proportionnalité et de l'égalité de traitement.</w:t>
      </w:r>
    </w:p>
    <w:p>
      <w:r>
        <w:rPr>
          <w:b/>
        </w:rPr>
        <w:t>E. 7.2</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C-2306/2008 du 13 octobre 2009 consid. 9 et références citées).</w:t>
      </w:r>
    </w:p>
    <w:p>
      <w:r>
        <w:rPr>
          <w:b/>
        </w:rPr>
        <w:t>E. 7.3</w:t>
      </w:r>
    </w:p>
    <w:p>
      <w:r>
        <w:t>S'agissant de l'intérêt privé du recourant à pouvoir se déplacer librement en Suisse, il apparaît que celui-ci peut se prévaloir d'attaches personnelles dans ce pays, dans lequel résident ses parents et ses frère et soeur et où il a vécu depuis l'âge de onze ans.</w:t>
      </w:r>
    </w:p>
    <w:p>
      <w:r>
        <w:rPr>
          <w:b/>
        </w:rPr>
        <w:t>E. 7.4</w:t>
      </w:r>
    </w:p>
    <w:p>
      <w:r>
        <w:t>S'agissant de l'intérêt public, il est à noter que les actes pour lesquels le recourant a été condamné en Suisse ne peuvent être qualifiés de bénins et justifient une intervention ferme des autorités. Les nombreuses condamnations dont le recourant a fait l'objet lors de son séjour dans ce pays pour des infractions et délits commis notamment entre 2000 et 2008, la révocation du sursis prononcé à son endroit, ainsi que son comportement récidiviste sont, à cet égard, tout à fait révélateurs et témoignent de l'intérêt public indéniable à éloigner X._______ du territoire helvétique. L'allégation du recourant selon laquelle le risque de récidive de sa part est minime et son amendement certain (cf. observations du 17 avril 2009) n'est point pertinente. A tout le moins, elle ne permet pas à elle seule de faire admettre un pronostic favorable quant au comportement futur de l'intéressé. En effet, compte tenu des infractions dont le recourant s'est rendu coupable, de son comportement récidiviste et de l'absence de perspective de réinsertion concrète lui permettant de subvenir à ses besoins et de réguler son existence quotidienne (cf. sur ce point le jugement du 27 février 2007 du Juge d'application des peines refusant la libération conditionnelle, p. 4), tout risque de mise en danger de l'ordre et de la sécurité publics ne peut être écarté.</w:t>
      </w:r>
    </w:p>
    <w:p>
      <w:r>
        <w:rPr>
          <w:b/>
        </w:rPr>
        <w:t>E. 7.5</w:t>
      </w:r>
    </w:p>
    <w:p>
      <w:r>
        <w:t>Dans ces circonstances, l'intérêt personnel de X._______ à revenir dans ce pays ne saurait être considéré comme prépondérant par rapport à l'intérêt public à son éloignement, si bien que le prononcé d'une interdiction d'entrée de durée indéterminée se révèle proportionné au but de sauvegarde de l'ordre et de la sécurité publics visé par cette mesure. Au demeurant, quand bien même aucune limite temporelle n'est fixée pour la validité de l'interdiction d'entrée, il sied de relever que cette mesure n'étend pas ses effets de manière illimitée. En effet, le prénommé conserve la faculté de solliciter de l'ODM dans le futur qu'il réexamine la décision d'interdiction d'entrée prononcée à son endroit. S'il devait s'avérer que l'ordre et la sécurité publics n'exigent plus le maintien de l'interdiction d'entrée, l'ODM pourrait ainsi revenir sur sa décision (ATF 114 Ib 1 consid. 4). Cette autorité ne pourra toutefois guère entrer en matière sur une telle demande qu'une fois que le recourant, qui aura purgé sa peine, aura apporté la preuve, durant un laps de temps significatif, qu'il s'est définitivement amendé et ne représente plus une menace pour l'ordre et la sécurité publics.</w:t>
      </w:r>
    </w:p>
    <w:p>
      <w:r>
        <w:rPr>
          <w:b/>
        </w:rPr>
        <w:t>E. 7.6</w:t>
      </w:r>
    </w:p>
    <w:p>
      <w:r>
        <w:t>Au vu de l'ensemble des éléments objectifs et subjectifs de la cause, le Tribunal estime que l'interdiction d'entrée en Suisse prononcée le 19 décembre 2008 par l'autorité intimée est adéquate et que sa durée respecte le principe de proportionnalité. Par ailleurs, cette mesure n'est pas contraire au principe d'égalité de traitement, au regard des décisions prises par les autorités dans des cas analogues.</w:t>
      </w:r>
    </w:p>
    <w:p>
      <w:r>
        <w:rPr>
          <w:b/>
        </w:rPr>
        <w:t>E. 8</w:t>
      </w:r>
    </w:p>
    <w:p>
      <w:r>
        <w:t>Il ressort de ce qui précède que, par sa nouvelle décision du 19 décembre 2008, l'ODM n'a ni violé le droit fédéral, ni constaté des faits pertinents de manière inexacte ou incomplète; en outre, cette décision n'est pas inopportune (art. 49 PA). Le recours est en conséquence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Il convient de relever enfin que l'annulation par l'ODM de sa première décision n'a eu lieu que pour des motifs d'ordre purement formel et qu'elle n'autorise aucunement le Tribunal à considérer que le recourant aurait eu, même partiellement, gain de cause de ce seul fait et, par voie de conséquence, droit à des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