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C-7923/2009 vom 21. September 2011</w:t>
      </w:r>
    </w:p>
    <w:p>
      <w:r>
        <w:t>Bundesverwaltungsgericht, 2011-09-21, FR</w:t>
      </w:r>
    </w:p>
    <w:p>
      <w:r>
        <w:rPr>
          <w:b/>
        </w:rPr>
        <w:t xml:space="preserve">Quelle: </w:t>
      </w:r>
      <w:r>
        <w:t>https://mcp.opencaselaw.ch/entscheid/bvger_C-7923_2009</w:t>
      </w:r>
    </w:p>
    <w:p>
      <w:r>
        <w:t>FR: TAF C-7923/2009 du 21 septembre 2011</w:t>
      </w:r>
    </w:p>
    <w:p>
      <w:r>
        <w:t>IT: TAF C-7923/2009 del 21 settembre 2011</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l'Office fédéral des assurances sociales [OFAS]).</w:t>
      </w:r>
    </w:p>
    <w:p>
      <w:r>
        <w:rPr>
          <w:b/>
        </w:rPr>
        <w:t>E. 3.4</w:t>
      </w:r>
    </w:p>
    <w:p>
      <w:r>
        <w:t>Le droit applicable au fond est déterminé par les règles en vigueur au moment où les faits juridiquement déterminants se sont produits (ATF 130 V 445 consid. 1.2). Selon la jurisprudence, le juge n'a pas à prendre en considération les modifications du droit ou de l'état de fait postérieures à la date déterminante de la décision litigieuse (ATF 129 V 1 consid. 1.2; ATF I 274/05 du 21 mars 2006 consid. 1.1). La décision entreprise ayant été rendue le 18 novembre 2009, le droit éventuel à des prestations de l'assurance-invalidité doit être examiné en fonction et des modifications de la LAI consécutives à l'entrée en vigueur le 1er janvier 2008, de la 5e révision de cette loi (RO 2007 p. 5147). Cela étant, la 5e révision de la LAI, n'a pas modifié la notion d'invalidité, ni la manière d'évaluer le taux d'invalidité.</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le recourant remplit la condition liée à la durée minimale de cotisations. Il reste dès lors à examiner si l'intéressé pouvait être qualifié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w:t>
      </w:r>
    </w:p>
    <w:p>
      <w:r>
        <w:rPr>
          <w:b/>
        </w:rPr>
        <w:t>E. 7.3</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le refus de prestations AI repose sur le diagnostic retenu par les Drs L._______ et M._______ du SMR de trouble douloureux somatoforme sans trouble grave ni processus maladif chronique associé et sans incapacité de travail durable. Ils estiment l'incapacité de travail à 100% du 15 avril au 31 décembre 2008 et à 0% dès le 1er janvier 2009. Ils se réfèrent aux conclusions de l'expertise du Dr H._______, psychiatre, effectuée le 28 novembre 2008 à la demande de l'assurance maladie collective. Tout d'abord, il sied de relever que dans son rapport d'expertise, le Dr H._______ nomme par trois fois l'expertisé "M. Q._______" On serait enclin à attribuer cette erreur à un simple lapsus calami s'il n'y avait quelques autres contradictions. En effet, dans l'histoire familiale, le Dr H._______ note que le patient entretient des relations positives et régulières avec ses parents et sa soeur laquelle vit en Allemagne. On y lit également qu'il rencontre sa femme actuelle en 2001, qu'il épouse en 2002 et que le couple à deux enfants (22 mois et 4 semaines à la date de l'expertise). Or, dans le rapport du 17 décembre 2008 (pas même un mois plus tard) rédigé par la Dre I._______ qui affirme avoir vu le recourant en consultation ambulatoire le 11 novembre et le 15 décembre 2008, il est mentionné qu'il s'est marié aux Etats-Unis, a divorcé deux ans plus tard, rencontré sa nouvelle compagne d'origine espagnole en Suisse, avec laquelle il a deux enfants et rompu quasiment toutes relations avec sa famille, ses parents semblant ne pas accepter qu'il ait formé un nouveau couple (pce 27 p. 16). Cette situation matrimoniale est partiellement corroborée par le livret de famille espagnol qui révèle qu'à la naissance du premier enfant, le recourant était encore marié alors que la mère était célibataire (pce 18). On ne saurait considérer ces imprécisions comme bagatelle s'agissant du diagnostic de syndrome douloureux somatoforme dans lequel un éventuel contexte de conflits émotionnels ou de problèmes psychosociaux peuvent être la cause essentielle du trouble. Ces incohérences combinées à l'utilisation d'un nom d'une autre personne suscitent de sérieux doutes quant à la valeur probante de cette expertise médicale et on se demande si ce médecin a accompli la tâche qui lui incombe avec tout le soin qu'exigent les circonstances. Rien que pour ces motifs, il y a lieu d'annuler la décision litigieuse qui s'appuie essentiellement sur une expertise à laquelle on ne saurait accorder toute confiance. De plus, cette expertise ne s'appuie pas lege artis sur les critères d'un système de classification reconnue, ainsi que la jurisprudence l'exige (cf. ATF 130 V 396 consid. 5.3 et 6). Dans ses conclusions le Dr H._______ se réfère par défaut à un trouble douloureux somatoforme, dans la mesure où aucune origine organique n'est démontrée pour expliquer la symptomatologie physique. Il ne relève aucune atteinte sur le plan psychique, les plaintes ne remplissant par ailleurs pas les critères pour un diagnostic d'épisode dépressif et il ne trouve aucun argument pour d'autres troubles psychiques. Or, le syndrome douloureux somatoforme est classé dans les troubles mentaux et ne constitue pas un diagnostic par défaut comme peuvent l'être certaines maladies orphelines. Il faut aussi remarquer qu'une partie de la symptomatologie douloureuse s'explique par l'arthrite, le tunnel carpien et une inflammation oculaire. Subsiste le syndrome douloureux thoracique droit qui est tout de même localisé à l'endroit de la cicatrice abdominale consécutive à une opération de 1996.</w:t>
      </w:r>
    </w:p>
    <w:p>
      <w:r>
        <w:rPr>
          <w:b/>
        </w:rPr>
        <w:t>E. 8.2</w:t>
      </w:r>
    </w:p>
    <w:p>
      <w:r>
        <w:t>A ce sujet, les constatations du Dr H._______ ne sont plus actuelles puisqu'entre temps d'autres interprétations ont été avancées pour expliquer les douleurs. En effet, tant la Dre I._______ (17 décembre 2008) que le Dr J._______ (janvier 2009) ont obtenu de bons résultats en anesthésiant cette zone, ce qui leur a permis de mettre en évidence un rôle de mémoire de la douleur et une lésion cicatricielle. Avant eux, les Drs R._______ et S._______ de la policlinique de neurologie des HUG évoquaient une atteinte neurologique périphérique de type monovrite multiple qui serait compatible avec le syndrome du canal carpien bilatéral (cf. pce 27 p. 25) - dont par ailleurs, le Dr E._______ s'étonnait de la présence chez un homme de cet âge, n'exerçant pas une activité physique difficile - (cf. pce 27 p. 19), et qu'ils suggéraient d'investiguer, ce qui ne semble pas avoir été fait.</w:t>
      </w:r>
    </w:p>
    <w:p>
      <w:r>
        <w:rPr>
          <w:b/>
        </w:rPr>
        <w:t>E. 8.3</w:t>
      </w:r>
    </w:p>
    <w:p>
      <w:r>
        <w:t>Pour le surplus, les autres rapports médicaux ne sont pas exempts de contradictions sur les limitations fonctionnelles: pour certains le recourant ne peut rester assis plus de 5' pour d'autre 30'. Le Dr E._______ observe tout d'abord (24 juillet 2008) 9/18 points de fibromyalgie douloureux, puis 13/18 (2 mars 2009) alors que la Dre P._______ (qui il est vrai n'est pas rhumatologue) exclut le diagnostic de fibromyalgie. On remarquera qu'au moment du recours l'assurance maladie collective versait encore des indemnités pour une IT de 50%. Les plaintes du recourant, certes "démonstratives" au regard du Dr H._______, n'ont jamais été mis en doute par l'ensemble du corps médical qui admet une symptomatologie douloureuse sévère, sans simulation. La dernière expertise rhumatologique annonce un tableau douloureux très chronique et très intense "et il ne fait aucun doute que les douleurs annoncés sont bien présentes". De surcroît, en dehors du Dr H._______, lequel se prononçait que d'un point de vue psychique, tous les médecins admettent une certaine incapacité de travail. Pour terminer, l'autorité inférieure, à l'instar du SMR, retient une incapacité totale de travail de 100% du 15 avril au 31 décembre 2008, puis dès janvier 2009 de 0%, sans expliquer ce qui vaut cette subite amélioration ou cette incapacité totale préalable alors que l'état de santé n'a pas substantiellement évolué.</w:t>
      </w:r>
    </w:p>
    <w:p>
      <w:r>
        <w:rPr>
          <w:b/>
        </w:rPr>
        <w:t>E. 8.4</w:t>
      </w:r>
    </w:p>
    <w:p>
      <w:r>
        <w:t>Ainsi, la Cour de céans constate que l'expertise sur laquelle s'appuie le SMR ne satisfait pas les exigences de la jurisprudence et qu'il y a lieu d'annuler la décision litigieuse. S'agissant d'élucider des questions nécessaires non réglées (cf. arrêt du Tribunal fédéral 9C_243/2010 du 28 juin 2011 consid. 4.4.1.4), la cause peut être renvoyée - ainsi que le recourant le demande dans ses conclusions - à l'autorité inférieure afin qu'elle procède à une expertise pluridisciplinaire (intégrant l'avis d'un psychiatre), laquelle semble mieux indiquée que la succession de diagnostics d'experts en présence d'un tableau clinique aussi confus. Il sied également de rappeler qu'elle est tenue d'examiner d'office le droit à toutes les prestations en corrélation avec les indications fournies (cf. Pratique VSI 4/2008, p. 211, consid. 2a), soit y compris les mesures d'ordre professionnel.</w:t>
      </w:r>
    </w:p>
    <w:p>
      <w:r>
        <w:rPr>
          <w:b/>
        </w:rPr>
        <w:t>E. 9.1</w:t>
      </w:r>
    </w:p>
    <w:p>
      <w:r>
        <w:t>Vu l'issu du litige, il n'est pas perçu de frais de procédure (art. 63 al. 1 et 2 PA). En conséquence, l'avance de frais de Fr. 400.-- déjà versée par le recourant lui sera restituée sur le compte bancaire qu'il aura désigné, une fois le présent arrêt entré en force.</w:t>
      </w:r>
    </w:p>
    <w:p>
      <w:r>
        <w:rPr>
          <w:b/>
        </w:rPr>
        <w:t>E. 9.2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reputée avoir obtenu gain de cause lorsque la cause est renvoyée à l'administration pour instruction complémentaire et nouvelle décision (ATF 132 V 215 consid. 6.2). En l'espèce, le travail accompli par le représentant du recourant en instance de recours a consisté principalement dans la rédaction d'un recours de 5 pages accompagné dans bordereau de 38 pièces et d'une réplique de 1 page et demie. Il se justifie, eu égard à ce qui précède, de lui allouer ex aequo et bono une indemnité à titre de dépens de Fr. 2'500.-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