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C-7922/2009 vom 27. August 2010</w:t>
      </w:r>
    </w:p>
    <w:p>
      <w:r>
        <w:t>Bundesverwaltungsgericht, 2010-08-27, DE</w:t>
      </w:r>
    </w:p>
    <w:p>
      <w:r>
        <w:rPr>
          <w:b/>
        </w:rPr>
        <w:t xml:space="preserve">Quelle: </w:t>
      </w:r>
      <w:r>
        <w:t>https://mcp.opencaselaw.ch/entscheid/bvger_C-7922_2009</w:t>
      </w:r>
    </w:p>
    <w:p>
      <w:r>
        <w:t>FR: TAF C-7922/2009 du 27 août 2010</w:t>
      </w:r>
    </w:p>
    <w:p>
      <w:r>
        <w:t>IT: TAF C-7922/2009 del 27 agosto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als kubanischer Staatsangehöriger der Visumspflicht.</w:t>
      </w:r>
    </w:p>
    <w:p>
      <w:r>
        <w:rPr>
          <w:b/>
        </w:rPr>
        <w:t>E. 6.1</w:t>
      </w:r>
    </w:p>
    <w:p>
      <w:r>
        <w:t>Zur Prüfung des Kriteriums der gesicherten Wiederausreise muss ein zukünftiges Verhalten beurteilt werden. Dazu lassen sich in der Regel keine verlässlichen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6.2.1</w:t>
      </w:r>
    </w:p>
    <w:p>
      <w:r>
        <w:t>Unter der derzeitigen Staatsführung bleibt Kuba prinzipiell beim Konzept einer sozialistischen Planwirtschaft, in der politische Ziele Vorrang vor ökonomischen Erwägungen haben. Das Land leidet unter einem grossen Defizit in den Bereichen Infrastruktur, Industrie sowie Landwirtschaft und ist gezwungen, circa 80% der Lebensmittel zu importieren. Die unter Raúl Castro angekündigten und teilweise auch eingeleiteten Massnahmen zur Stärkung der wirtschaftlichen Leis-tungsfähigkeit Kubas wirken sich bisher kaum auf den Alltag der Bevölkerung aus. Ein Übergang von der sozialistischen Planwirtschaft zu Marktwirtschaft und Privateigentum wird von diesen Massnahmen nicht angestrebt, weshalb es an Leistungsanreizen fehlt. Das durchschnittliche monatliche Salär in Kuba beträgt umgerechnet etwa 15 Euro. Ein grosser Teil der Grundbedürfnisse kann nur in konvertibler Währung und zu Preisen gedeckt werden, die deutlich über den Vergleichspreisen in Europa oder den USA liegen. Der Zugang zu konvertibler Währung bestimmt denn auch den Lebensstandard der Bevölkerung. Schätzungsweise 40 % der Bürger erhalten Überweisungen ihrer im Ausland lebenden Verwandten (Quellen: Deutsches Auswärtiges Amt, im Internet unter www.auswaertiges-amt.de &gt; Länder, Reisen und Sicherheit &gt; Kuba &gt; Wirtschaft [Stand März 2010], US Department of State, im Internet unter: &lt;http://www.state.gov &gt; Cuba [Stand März 2010], beide Seiten besucht im August 2010).</w:t>
      </w:r>
    </w:p>
    <w:p>
      <w:r>
        <w:rPr>
          <w:b/>
        </w:rPr>
        <w:t>E. 6.2.2</w:t>
      </w:r>
    </w:p>
    <w:p>
      <w:r>
        <w:t>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weiterhin ansteigen.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und Bekannte) besteht. Im Falle der Schweiz führt dies angesichts der strengen fremdenpolizeilichen Zulassungspraxis nicht selten zur Umgehung ausländerrechtlicher Bestimmungen.</w:t>
      </w:r>
    </w:p>
    <w:p>
      <w:r>
        <w:rPr>
          <w:b/>
        </w:rPr>
        <w:t>E. 6.2.3</w:t>
      </w:r>
    </w:p>
    <w:p>
      <w:r>
        <w:t>Im Bezug auf die Einschätzung des Emigrationsrisikos ist bei kubanischen Staatsangehörigen eine Eigenheit des kubanischen Rechts zu berücksichtigen: Hält sich ein kubanischer Staatsangehöriger länger im Ausland auf als im Ausreisevisum vorgesehen (eine Verlängerung bis zu einer Abwesenheit von insgesamt 11 Monaten kann von den kubanischen Vertretungen im Ausland vorgenommen werden), so wird ihm in vielen Fällen die Wiedereinreise nach Kuba verwehrt (vgl. MICHAEL KIRSCHNER, Kuba: Legale und illegale Aus- und Einreise, Schweizerischen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6.2.4</w:t>
      </w:r>
    </w:p>
    <w:p>
      <w:r>
        <w:t>Angesichts der geschilderten Umstände im Heimatland des Gesuchstellers ist nicht zu beanstanden, dass die Vorinstanz das Risiko einer nicht fristgerechten Wiederausreise von Besuchern aus Kuba generell als hoch einschätzt.</w:t>
      </w:r>
    </w:p>
    <w:p>
      <w:r>
        <w:rPr>
          <w:b/>
        </w:rPr>
        <w:t>E. 6.3</w:t>
      </w:r>
    </w:p>
    <w:p>
      <w:r>
        <w:t>Bei der Risikoanalyse sind allerdings - wie auch die Beschwerdeführerin zu Recht geltend macht - nicht nur solch allgemeine Umstände und Erfahrungen, sondern auch sämtliche Gesichtspunkte des konkreten Einzelfalles zu berücksichtigen. Allerdings sind dabei nicht so sehr die persönlichen Eindrücke der Beschwerdeführerin vom Gesuchsteller ausschlaggebend, sondern vielmehr konkret nachweisbare besondere berufliche, gesellschaftliche oder familiäre Verpflichtungen. Sind diese vorhanden, können sie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6.3.1</w:t>
      </w:r>
    </w:p>
    <w:p>
      <w:r>
        <w:t>Beim Gesuchsteller handelt es sich um einen bald 29-jährigen, unverheirateten und kinderlosen Mann. Die Beschwerdeführerin gibt zudem an, er wohne mit seiner Mutter und einem Bruder zusammen und sorge für diese. Sein Vater und ein weiterer jüngerer Bruder würden am selben Ort wohnen. Die Eltern seien geschieden (vgl. Schreiben der Beschwerdeführerin vom 30. Oktober 2009). Der Gesuchsteller selbst erwähnt in einem Schreiben vom 16. September 2009 an die Schweizerische Vertretung, seine Mutter habe gesundheitliche Probleme. Aus diesem Grund müsse sie betreut werden und sie benötige finanzielle Unterstützung. Während seiner Abwesenheit springe jemand anderes für ihn ein. Über Art und Ausmass der Betreuung wurden keine Angaben getätigt. Es ist jedoch aufgrund der beruflich bedingten Abwesenheit des Gesuchstellers nicht davon auszugehen, diese sei besonders intensiv. Immerhin wohnt auch noch ein weiterer Bruder mit der Mutter zusammen; ein anderer lebt am selben Ort. Die finanzielle Unterstützung kann hingegen ohne weiteres auch aus dem Ausland erfolgen. Es sind somit keine familiären Verpflichtungen ersichtlich, welche den Gesuchsteller von einer Emigration abzuhalten vermöchten. Andere Verpflichtungen familiärer oder gesellschaftlicher Art gehen aus den Akten und den Ausführungen der Beschwerdeführerin nicht hervor.</w:t>
      </w:r>
    </w:p>
    <w:p>
      <w:r>
        <w:rPr>
          <w:b/>
        </w:rPr>
        <w:t>E. 6.3.2</w:t>
      </w:r>
    </w:p>
    <w:p>
      <w:r>
        <w:t>Die Beschwerdeführerin macht alsdann berufliche Bindungen des Gesuchstellers geltend: Er arbeite bei einer Elektrizitätsgesellschaft und könne seine Stelle nach 90 Tagen Abwesenheit wieder übernehmen (vgl. Schreiben vom 30. Oktober 2009). Ein entsprechendes Bestätigungsschreiben des Arbeitsgebers vom 7. Sep-tember 2009 liegt den Akten bei. Nicht bekannt ist hingegen - ausser dem Hinweis, er habe ein für Kuba durchschnittliches Gehalt - die Höhe des monatlichen Einkommens. Die Erfahrung zeigt jedoch, dass aufgrund des grossen Lohngefälles zwischen der Schweiz und Staaten wie Kuba selbst ein für einheimische Verhältnisse gutes Salär nicht nachhaltig davon abhalten kann, das Heimatland dauerhaft zu verlassen. Die Beschwerdeführerin führt denn auch beschwerdeweise aus, ihr Freund habe ein für Schweizer Verhältnisse geringes Einkommen. Vor diesem Hintergrund ist der Vorinstanz zuzustimmen, als auch die geplante dreimonatige Abwesenheit des Gesuchstellers einen weiteren Hinweis darstellt, dass keine besonders starke berufliche Verankerung vorliegt.</w:t>
      </w:r>
    </w:p>
    <w:p>
      <w:r>
        <w:rPr>
          <w:b/>
        </w:rPr>
        <w:t>E. 6.3.3</w:t>
      </w:r>
    </w:p>
    <w:p>
      <w:r>
        <w:t>Aufgrund der obgenannten Ausführungen muss das Vorliegen von besonderen beruflichen, gesellschaftlichen oder familiären Verpflichtungen verneint werden. Kommt hinzu, dass die Beschwerdeführerin während des vorinstanzlichen Verfahrens wie auch auf Beschwerdeebene Heiratsabsichten geltend macht. Zwar steht es ihr ohne weiteres zu, den Gesuchsteller im Einklang mit den migrationsrechtlichen Regeln zu heiraten und seine anschliessende Aufenthaltsregelung zum Gegenstand eines neuen, aus dem Ausland einzuleitenden Verfahrens zu machen. Erfahrungsgemäss werden solche Schritte jedoch oftmals während des Besuchsaufenthalts verwirklicht. Insofern bestehen ebenfalls begründete Zweifel am Aufenthaltszweck.</w:t>
      </w:r>
    </w:p>
    <w:p>
      <w:r>
        <w:rPr>
          <w:b/>
        </w:rPr>
        <w:t>E. 6.4</w:t>
      </w:r>
    </w:p>
    <w:p>
      <w:r>
        <w:t>Vor dem allgemeinen und persönlichen Hintergrund durfte die Vorinstanz demnach davon ausgehen, dass keine hinreichende Gewähr für eine fristgerechte und anstandslose Wiederausreise des Gesuchstellers nach einem Besuchsaufenthalt besteht. Zwar lässt sich diese Einschätzung nicht zu einer gesicherten Feststellung verdichten; sie reicht aber aus, um die Erteilung eines Einreisevisums abzulehnen. An dieser Beurteilung vermögen auch die Zusicherungen der Beschwerdeführerin sowie die von ihr unterzeichnete Garantieerklärung vom 23. Oktober 2009 nichts zu ändern. Als Gastgeberin kann sie zwar für gewisse finanzielle Risiken im Zusammenhang mit dem Besuchsaufenthalt, aus nahe liegenden Gründen aber nicht für ein bestimmtes Verhalten ihres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Der Beschwerdeführerin steht weiterhin die Möglichkeit offen, ihren Freund in Kuba zu besuchen.</w:t>
      </w:r>
    </w:p>
    <w:p>
      <w:r>
        <w:rPr>
          <w:b/>
        </w:rPr>
        <w:t>E. 6.5</w:t>
      </w:r>
    </w:p>
    <w:p>
      <w:r>
        <w:t>Aus den vorstehenden Erwägungen folgt, dass die angefochtene Verfügung im Lichte von Art. 49 VwVG nicht zu beanstanden ist. Die Beschwerde ist daher abzuweisen.</w:t>
      </w:r>
    </w:p>
    <w:p>
      <w:r>
        <w:rPr>
          <w:b/>
        </w:rPr>
        <w:t>E. 7</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