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C-791/2013 vom 13. Mai 2013</w:t>
      </w:r>
    </w:p>
    <w:p>
      <w:r>
        <w:t>Bundesverwaltungsgericht, 2013-05-13, DE</w:t>
      </w:r>
    </w:p>
    <w:p>
      <w:r>
        <w:rPr>
          <w:b/>
        </w:rPr>
        <w:t xml:space="preserve">Quelle: </w:t>
      </w:r>
      <w:r>
        <w:t>https://mcp.opencaselaw.ch/entscheid/bvger_C-791_2013</w:t>
      </w:r>
    </w:p>
    <w:p>
      <w:r>
        <w:t>FR: TAF C-791/2013 du 13 mai 2013</w:t>
      </w:r>
    </w:p>
    <w:p>
      <w:r>
        <w:t>IT: TAF C-791/2013 del 13 maggio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(Art. 37 VGG).</w:t>
      </w:r>
    </w:p>
    <w:p>
      <w:r>
        <w:rPr>
          <w:b/>
        </w:rPr>
        <w:t>E. 1.3</w:t>
      </w:r>
    </w:p>
    <w:p>
      <w:r>
        <w:t>Die Beschwerdeführerin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w:t>
      </w:r>
    </w:p>
    <w:p>
      <w:r>
        <w:t>Mit der Einreichung einer Beschwerde geht die Behandlung der Streitsache auf die Beschwerdeinstanz über (Devolutiveffekt [Art. 54VwVG] vgl. BGE 130 V 138 E. 4.2, BGE 100 Ib 351 E. 3 mit Hinweis). Zugleich verliert die Vorinstanz die Befugnis, sich mit der Sache zu befassen (vgl. Hansjörg Seiler, in: Praxiskommentar zum Bundesgesetz über das Verwaltungsverfahren, Waldmann/Weissenberger [Hrsg.], Zürich/Basel/Genf 2009, Art. 54 N 3).</w:t>
      </w:r>
    </w:p>
    <w:p>
      <w:r>
        <w:rPr>
          <w:b/>
        </w:rPr>
        <w:t>E. 4</w:t>
      </w:r>
    </w:p>
    <w:p>
      <w:r>
        <w:t>Der angefochtenen Verfügung liegen die Gesuche von libyschen Staatsangehörigen um Erteilung eines Visums für einen Aufenthalt in der Schweiz zugrunde. Da sich die Gesuchsteller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5.2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5.3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5.5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6.1</w:t>
      </w:r>
    </w:p>
    <w:p>
      <w:r>
        <w:t>Als Staatsangehörige von Libyen unterliegen die Gesuchsteller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anzweifelt.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nicht mit dem Ziel und Zweck einer zeitlich befristeten Einreisebewilligung in Einklang steht. 7.1 Mit der Erklärung der Befreiung ganz Libyens am 23. Oktober 2011 hat Libyen ein neues Kapitel in seiner Geschichte aufgeschlagen. Nach dem innenpolitischen Fahrplan, der in der Verfassungserklärung vom August 2011 festgelegt worden war, soll von dem am 7. Juli 2012 gewählten Allgemeinen Nationalkongress (ANK) eine neue Regierung gebildet und die Wahl einer Verfassungskommission vorbereitet werden. Die Gefahren für diesen Stabilisierungs- und Demokratisierungsprozess sind jedoch groß. Nach wie vor zirkulieren große Mengen von Kleinwaffen in Libyen und Rivalitäten zwischen Milizen gefährden das öffentliche Leben. Die Aussöhnung der ehemaligen Gegner wird ein schwieriger und schmerzhafter Prozess werden. Auch das Wirtschaftsleben hat sich trotz Aufhebung der meisten Sanktionen noch nicht wieder normalisiert. Um diesen Problemen wirksam zu begegnen, muss Libyen die staatlichen Strukturen erst schaffen (Quelle: Webseite des deutschen Auswärtigen Amtes: www.auswaertiges-amt.de, Aussen- und Europapolitik &gt; Länderinformationen &gt; Reise und Sicherheit &gt; Reise- und Sicherheitshinweise Länder A - Z &gt; Libyen &gt; Innenpolitik, Stand: November 2012; besucht im April 2013). Das Auswärtige Amt gibt denn auch für Libyen an prominenter Stelle eine Reisewarnung aus. Vor diesem Hintergrund erstaunt es nicht, wenn libysche Staatsangehörige die Chance nutzen, im Ausland ein besseres Leben zu führen. Insbesondere wird die Tendenz zur Immigration erfahrungsge­mäss dort noch begünstigt, wo durch die Anwesenheit von Verwandten oder Bekannten bereits ein minimales soziales Beziehungsnetz besteht. Angesichts der restriktiven Zulassungsregelung werden dabei nicht selten ausländerrechtliche Bestimmungen umgangen. 7.2 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8.1 Beim Gesuchsteller 1 handelt es sich um einen bald 51-jährigen verheirateten Mann. Gemäss Visumantrag vom 24. Oktober 2010 arbeitet er als selbständiger Bauer. Näheres ist in Bezug auf seine berufliche Tätigkeit hingegen nicht bekannt und ergibt sich auch nicht aus den zu den Akten gereichten Bestätigungen (vgl. Schreiben des "Director of Administration in the agriculture sector" vom 14. November 2012 sowie Schreiben "A._______ Company for Computers und Translating" vom 29. Oktober 2012). Seine geplante einmonatige Abwesenheit lässt hingegen nicht darauf schliessen, dass er in sein berufliches Umfeld stark eingebettet und seine Präsenz - als selbständig Erwerbender - unabdingbar ist. Die Gesuchstellerin 2 ist Angestellte des Gesundheitsministeriums (vgl. Bestätigung "Director of health services" vom 14. November 2012). Weitere Angaben zu Einkommen und Arbeitspensum fehlen. Es ist aufgrund dieser Ausführungen jedoch nicht davon auszugehen, die Familie lebe in wirtschaftlich guten Verhältnissen. Zwar wurden den Akten diverse Bankauszüge beigelegt, diese können jedoch weder einer bestimmten Person zugeordnet werden noch wurden sie näher erläutert. Auch ist nicht nachvollziehbar, wie der Gesuchsteller 1 am 7. November 2012 einen Betrag von 10.757,500 Libyan Dinar in 6500 wechseln konnte (vgl. Schreiben A._______ Bank), weist doch der eingereichte Bankauszug am 24. Oktober 2012 eine Nettobilanz von 658,201 Libyan Dinar auf. Im Übrigen weist auch die Beschwerdeführerin in ihrem Schreiben vom 22. April 2013 darauf hin, dass ihr Bruder keine grossen Einkünfte aus seiner Arbeit generiere. 8.2 Weiter ist davon auszugehen, dass die Familie über keine weiteren familiären oder sozialen Bindungen und Verantwortlichkeiten verfügt. Diese ergeben sich weder aus den Akten noch wurden solche geltend gemacht. Unter den konkret gegebenen Umständen vermag auch der Vorschlag der Beschwerdeführerin bezüglich einer getrennten bzw. gestaffelten Einreise ihrer Gäste nicht zu überzeugen (vgl. Schreiben vom 22. April 2013), hegen doch Emigrationswillige in solchen Situationen oft die Hoffnung, ihre Familie später ins Ausland nachziehen zu können. 8.3 Vor dem allgemeinen und persönlichen Hintergrund konnte die Vorinstanz demnach davon ausgehen, dass keine hinreichende Gewähr für die fristgerechte und anstandslose Wiederausreise der Gesuchsteller nach einem Besuchsaufenthalt besteht. Daran kann auch die gegenteilige Zusicherung der Beschwerdeführerin oder ihres Lebenspartners nichts ändern. Die Integrität der Beschwerdeführerin in ihrer Eigenschaft als Gastgeberin wird auch gar nicht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 wie dies in casu geschehen ist (vgl. Verpflichtungserklärung vom 16. Januar 2013)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In diesem Sinn ist auch das Vorlegen eines Retourtickets - wie es die Beschwerdeführerin vorschlägt (vgl. Schreiben vom 22. April 2013) - dafür kaum geeignet. 8.4 Vorliegend ist Weiteren auch die Erteilung eines Visums aus humani-tären Gründen zu verneinen (vgl. Art. 25 Abs. 1 Bst. a Visakodex). Zwar hat die Beschwerdeführerin ein privates Interesse an einem persönlichen Treffen mit den Gesuchstellern. Das private Interesse wird hingegen durch den Umstand relativiert, dass diverse Möglichkeiten vorhanden sind, die Beziehung mittels moderner Kommunikationsmittel zu pflegen oder die familiären Kontakte ausserhalb der Schweiz zu realisieren. Das private Interesse einer persönlichen Begegnung zum heutigen Zeitpunkt ist denn auch nicht so gewichtig, dass das öffentliche Interesse an der Einhaltung der Einreisevorschriften zurückzutreten hätte. Insgesamt sind demnach keine humanitären Gründe ersichtlich, welche die Erteilung eines Visums mit räumlich beschränkter Gültigkeit nahelegen würden.</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wird die unterliegende Be­schwerdeführerin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