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C-790/2012 vom 5. Januar 2012</w:t>
      </w:r>
    </w:p>
    <w:p>
      <w:r>
        <w:t>Bundesverwaltungsgericht, 2012-01-05, IT</w:t>
      </w:r>
    </w:p>
    <w:p>
      <w:r>
        <w:rPr>
          <w:b/>
        </w:rPr>
        <w:t xml:space="preserve">Quelle: </w:t>
      </w:r>
      <w:r>
        <w:t>https://mcp.opencaselaw.ch/entscheid/bvger_C-790_2012</w:t>
      </w:r>
    </w:p>
    <w:p>
      <w:r>
        <w:t>FR: TAF C-790/2012 du 5 janvier 2012</w:t>
      </w:r>
    </w:p>
    <w:p>
      <w:r>
        <w:t>IT: TAF C-790/2012 del 5 gennaio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(art. 8 ALC), è stato modificato il 1° aprile 2012 (Decisione 1/2012 del Comitato mi­sto, del 31 marzo 2012; RU 2012 2345). Tuttavia, il caso in esame rimane regolato,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La presente procedura è retta dalla LAI nel suo tenore modificato il 18 marzo 2011 (6a revisione, primo pacchetto di misure), e in vigore dal 1° gennaio 2012 (RU 2011 5659; FF 2010 1603), ritenuto tuttavia il principio secondo il quale le norme applicabili sono quelle in vigore al momento in cui dei fatti giuridicamente rilevanti si sono verificati (DTF 130 V 445 consid. 1.2).</w:t>
      </w:r>
    </w:p>
    <w:p>
      <w:r>
        <w:rPr>
          <w:b/>
        </w:rPr>
        <w:t>E. 4</w:t>
      </w:r>
    </w:p>
    <w:p>
      <w:r>
        <w:t>La ricorrente contesta la fondatezza della decisione del 5 gennaio 2012, con la quale l'UAIE non ha esaminato la sua domanda di revisione della rendita.</w:t>
      </w:r>
    </w:p>
    <w:p>
      <w:r>
        <w:rPr>
          <w:b/>
        </w:rPr>
        <w:t>E. 5.1</w:t>
      </w:r>
    </w:p>
    <w:p>
      <w:r>
        <w:t>Secondo l'art. 17 cpv. 1 LPGA, se il grado d'invalidità del beneficiario della rendita subisce una notevole modificazione, per il futuro la rendita è aumentata o ridotta proporzionalmente o soppressa, d'ufficio o su richiesta.</w:t>
      </w:r>
    </w:p>
    <w:p>
      <w:r>
        <w:rPr>
          <w:b/>
        </w:rPr>
        <w:t>E. 5.2</w:t>
      </w:r>
    </w:p>
    <w:p>
      <w:r>
        <w:t>Conformemente all'art. 87 cpv. 3 dell'Ordinanza federale su l'assicurazione per l'invalidità del 17 gennaio 1961 (OAI, RS 831.201), se è stata inoltrata domanda di revisione, nella domanda si deve dimostrare che il grado d'invalidità si è modificato in misura rilevante per il diritto alle prestazioni. In questo caso, l'aumento della rendita avverrà al più presto a partire dal mese in cui la domanda è stata inoltrata (art. 88bis cpv. 1 lett. a OAI).</w:t>
      </w:r>
    </w:p>
    <w:p>
      <w:r>
        <w:rPr>
          <w:b/>
        </w:rPr>
        <w:t>E. 5.3</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5.4</w:t>
      </w:r>
    </w:p>
    <w:p>
      <w:r>
        <w:t>In conformità con una giurisprudenza costante, al fine di giudicare se vi sono indizi sufficienti per ritenere verosimile una modifica rilevante del grado d'invalidità, si deve tenere conto del lasso di tempo intercorso tra la precedente decisione e quella che rifiuta di entrare in materia sulla domanda di revisione: gli indizi devono essere più circostanziati quando questo lasso di tempo è breve (Sozialversicherungsrecht, Rechtsprechung [SVR] 2002 IV n. 10 consid. 1c/aa, non pubblicato, in DTF 127 V 294). In concreto, la decisione d'attribuzione di una mezza rendita d'invalidità è stata emanata il 6 settembre 2010 e la decisione di non esame della domanda di revisione, qui impugnata, il 5 gennaio 2012, dimodoché il lasso di tempo determinante intercorre tra queste due date.</w:t>
      </w:r>
    </w:p>
    <w:p>
      <w:r>
        <w:rPr>
          <w:b/>
        </w:rPr>
        <w:t>E. 6.1</w:t>
      </w:r>
    </w:p>
    <w:p>
      <w:r>
        <w:t>Dai documenti medici all'incarto e, specialmente, dalle perizie particolareggiate E 213 del dott. D._______ e della dott.ssa F._______, entrambi medici dell'INPS, del 2 aprile 2009 (incarto relativo alla seconda domanda di rendita) e 28 giugno 2011 (doc. 3), come pure dai rapporti del dott. E._______, medico dell'UAIE, del 5 luglio 2010 (incarto relativo alla seconda domanda di rendita) e 13 ottobre 2011 (doc. 12), emerge la diagnosi principale di sindrome schizoaffettiva (terminologia INPS) o disturbo affettivo bipolare (terminologia UAIE), nonché la diagnosi secondaria di spondiloartrosi con ernia discale L5/S1, di esiti da isterectomia totale per fibromatosi e di "urge incontinence" da ipermobilità uretrale.</w:t>
      </w:r>
    </w:p>
    <w:p>
      <w:r>
        <w:rPr>
          <w:b/>
        </w:rPr>
        <w:t>E. 6.2</w:t>
      </w:r>
    </w:p>
    <w:p>
      <w:r>
        <w:t>Nell'ambito della domanda di revisione, il dott. E._______ ha ribadito senza equivoci, il 13 ottobre e 21 dicembre 2011 (doc. 12 e 16), che la documentazione medica prodotta dalla ricorrente, in particolare i diversi certificati ospedalieri psichiatrici, non apporta nulla di nuovo sul piano diagnostico, il suo stato di salute essendo rimasto stazionario e invariato rispetto a quanto stabilito a conclusione della procedura relativa alla seconda domanda di rendita.</w:t>
      </w:r>
    </w:p>
    <w:p>
      <w:r>
        <w:rPr>
          <w:b/>
        </w:rPr>
        <w:t>E. 6.3</w:t>
      </w:r>
    </w:p>
    <w:p>
      <w:r>
        <w:t>Visto quanto precede, questo Tribunale può affermare che la documentazione esibita nell'ambito della domanda di revisione e della presente procedura non evidenzia alcun nuovo elemento di rilievo a favore della tesi di un peggioramento rilevante dello stato di salute della ricorrente durante il periodo d'esame pertinente, ossia dal 6 settembre 2010 al 5 gennaio 2012. Siccome la ricorrente non ha reso plausibile che il grado della sua invalidità si è modificato in misura rilevante durante questo periodo, è a giusto titolo che l'UAIE non è entrato nel merito della domanda di revisione e non ha disposto ulteriori accertamenti.</w:t>
      </w:r>
    </w:p>
    <w:p>
      <w:r>
        <w:rPr>
          <w:b/>
        </w:rPr>
        <w:t>E. 7</w:t>
      </w:r>
    </w:p>
    <w:p>
      <w:r>
        <w:t>Di conseguenza, la decisione dell'UAIE del 5 gennaio 2012 deve essere confermata e il ricorso respinto.</w:t>
      </w:r>
    </w:p>
    <w:p>
      <w:r>
        <w:rPr>
          <w:b/>
        </w:rPr>
        <w:t>E. 8</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9</w:t>
      </w:r>
    </w:p>
    <w:p>
      <w:r>
        <w:t>Secondo l'art. 63 cpv. 1 PA, le spese processuali sono di regola messe a carico della parte soccombente. La ricorrente ha chiesto di essere posta al beneficio dell'assistenza giudiziaria per quanto attiene alle stesse (assistenza giudiziaria parziale). In concreto, non si percepiscono spese processuali.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