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C-7874/2024 vom 9. Oktober 2024</w:t>
      </w:r>
    </w:p>
    <w:p>
      <w:r>
        <w:t>Bundesverwaltungsgericht, 2024-10-09, DE</w:t>
      </w:r>
    </w:p>
    <w:p>
      <w:r>
        <w:rPr>
          <w:b/>
        </w:rPr>
        <w:t xml:space="preserve">Quelle: </w:t>
      </w:r>
      <w:r>
        <w:t>https://mcp.opencaselaw.ch/entscheid/bvger_C-7874_2024_d20241009</w:t>
      </w:r>
    </w:p>
    <w:p>
      <w:r>
        <w:t>FR: TAF C-7874/2024 du 9 octobre 2024</w:t>
      </w:r>
    </w:p>
    <w:p>
      <w:r>
        <w:t>IT: TAF C-7874/2024 del 9 ottobre 2024</w:t>
      </w:r>
    </w:p>
    <w:p>
      <w:pPr>
        <w:pStyle w:val="Heading2"/>
      </w:pPr>
      <w:r>
        <w:t>Regeste</w:t>
      </w:r>
    </w:p>
    <w:p>
      <w:r>
        <w:t>Markt&amp;uuml;berwachung | Marktüberwachung, Einziehung und Vernichtung von Dopingmitteln; Verfügung der Stiftung Swiss Sport Integrity vom 9. Oktober 2024.</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VBS.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