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C-7871/2009 vom 25. Mai 2010</w:t>
      </w:r>
    </w:p>
    <w:p>
      <w:r>
        <w:t>Bundesverwaltungsgericht, 2010-05-25, FR</w:t>
      </w:r>
    </w:p>
    <w:p>
      <w:r>
        <w:rPr>
          <w:b/>
        </w:rPr>
        <w:t xml:space="preserve">Quelle: </w:t>
      </w:r>
      <w:r>
        <w:t>https://mcp.opencaselaw.ch/entscheid/bvger_C-7871_2009</w:t>
      </w:r>
    </w:p>
    <w:p>
      <w:r>
        <w:t>FR: TAF C-7871/2009 du 25 mai 2010</w:t>
      </w:r>
    </w:p>
    <w:p>
      <w:r>
        <w:t>IT: TAF C-7871/2009 del 25 maggio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S'agissant de la langue de la procédure devant l'autorité inférieure et du présent arrêt, les art. 33a PA et 37 LTAF sont applicables. La décision est prise dans l'une des langues officielles, en générale celle dans laquelle les parties ont déposé ou déposeraient leurs conclusions, et l'arrêt est rendu dans la langue de la décision attaquée. Si les parties utilisent une autre langue officielle, celle-ci peut être adoptée. Les langues officielles sont l'allemand, le français, l'italien et le romanche. Ni l'ALCP, ni les règlements n°1408/71 et n°574/72 ne prévoient le droit pour les assurés de demander que la procédure devant l'administration et l'arrêt en cas de recours soient menée, respectivement rendu, dans une autre langue que l'une des langues officielles suisses. En d'autres termes, la jurisprudence ne reconnaît pas à un assuré ou à son mandataire le droit de se faire traduire les pièces du dossier rédigées dans une langue qu'il ne maîtrise pas ou de manière seulement imparfaite. Aussi appartient-il en principe au justiciable de se faire traduire les actes officiels du dossier (ATF 131 V 35 et ATF 127 V 219 et références citées, notamment l'ATF 115 Ia 65 consid. 6b).</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5.1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5.3.1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5.3.2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5.3.3</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consid. 2.3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pour autant qu'ils aient versé la cotisation minimale (cf. art. 28 et 50 RAVS).</w:t>
      </w:r>
    </w:p>
    <w:p>
      <w:r>
        <w:rPr>
          <w:b/>
        </w:rPr>
        <w:t>E. 5.4</w:t>
      </w:r>
    </w:p>
    <w:p>
      <w:r>
        <w:t>En l'espèce les revenus pris en compte par la CSC pour le recourant relativement à sa période de cotisations ne sont pas remis en cause. Ils correspondent à son activité déployée en Suisse (cf. pce 20) compte tenu des indications portées sur son compte individuel (cf. pce 30) et déterminent bien une durée de 14 mois de cotisations dans la branche 32 de l'industrie métallurgique et des machines (Directives sur les rentes 2009, p. 329). Le recourant n'a pas établi à satisfaction de droit d'une période de domicile en Suisse excédant sa durée de cotisations. Il appert en effet du dossier qu'il n'a pu être déterminé par le contrôle des habitants d'Ettingen une durée de domicile, l'intéressé s'étant enregistré à son arrivée dans la commune en date du 2 mai 1964 mais n'ayant pas annoncé son départ (pce 83). Par ailleurs, même avec une durée d'assurance de 15 mois, comme prétendu par la recourant, et des revenus identiques, le montant de la prestation serait identique (cf. aussi la réponse au recours de l'autorité inférieure du 22 février 2010).</w:t>
      </w:r>
    </w:p>
    <w:p>
      <w:r>
        <w:rPr>
          <w:b/>
        </w:rPr>
        <w:t>E. 6.1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ou qui auraient pris naissance en 2009, ce sont les Tables des rentes 2009 qui sont applicables pour la détermination de l'échelle de rente.</w:t>
      </w:r>
    </w:p>
    <w:p>
      <w:r>
        <w:rPr>
          <w:b/>
        </w:rPr>
        <w:t>E. 6.2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En l'espèce, l'assuré compte 1 année et 2 mois de cotisations. Or, pour le recourant, née en 1944, 1 année entière de cotisations sur les 44 années des assurés de sa classe d'âge conférant le droit à une rente entière de l'échelle 44, l'échelle applicable est l'échelle 1 correspondant à 2.27% d'une rente complète (cf. Tables des rentes 2009, p. 8 et 10; art. 52 RAVS).</w:t>
      </w:r>
    </w:p>
    <w:p>
      <w:r>
        <w:rPr>
          <w:b/>
        </w:rPr>
        <w:t>E. 6.3</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1er LAVS). La répartition est effectuée lorsque soit les deux conjoints ont droit à la rente, une veuve ou un veuf a droit à une rente de vieillesse, le mariage est dissous par le divorce. Dans la présente cause le splitting n'intervient pas pour le calcul de la rente du fait, entre autres motifs, que le recourant n'était pas marié en 1964-1965 avec B._______ qui a également travaillé en Suisse en 1965.</w:t>
      </w:r>
    </w:p>
    <w:p>
      <w:r>
        <w:rPr>
          <w:b/>
        </w:rPr>
        <w:t>E. 6.4</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est celui correspondant à la première année pour laquelle des cotisations ont été versées entre l'année qui suit l'accomplissement de la vingtième année et celle de l'ouverture du droit à la rente. En l'espèce le facteur de revalorisation en référence à l'année 2009 pour une première inscription en 1964 est 1.401 (Table des rentes 2009, p. 15).</w:t>
      </w:r>
    </w:p>
    <w:p>
      <w:r>
        <w:rPr>
          <w:b/>
        </w:rPr>
        <w:t>E. 7</w:t>
      </w:r>
    </w:p>
    <w:p>
      <w:r>
        <w:t>Les revenus de l'assurée pour les années 1964 à 1965 totalisent Fr. 12'725.-. Le facteur de revalorisation appliqué en 2009 à l'année 1964 est 1.401 portant ainsi le revenu à Fr. 17'828.-. Il s'ensuit que le revenu précité, compte tenu d'une durée de cotisations de 14 mois, détermine un revenu annuel moyen de Fr. 15'281.-. Le recourant ayant été durant les années précitées sans enfant, il ne bénéficie pas de contributions pour tâches éducatives. Le revenu en question est retenu pour tel. Or, ce revenu, porté au revenu annuel moyen déterminant (RAM) de l'échelle 1 pour l'année 2009 de Fr. 15'048.- directement supérieur à son revenu annuel moyen, donne droit à une rente mensuelle de Fr. 27.-. Il appert de ce qui précède que le montant de la rente allouée au recourant a été calculée correctement par la CSC.</w:t>
      </w:r>
    </w:p>
    <w:p>
      <w:r>
        <w:rPr>
          <w:b/>
        </w:rPr>
        <w:t>E. 8</w:t>
      </w:r>
    </w:p>
    <w:p>
      <w:r>
        <w:t>Dans ses écritures le recourant indique désirer un versement unique de ses prestations de vieillesse en la forme d'une indemnité forfaitaire. Jusqu'à l'entrée en vigueur au 1er juin 2002 de l'ALCP (voir supra consid. 2), le versement d'une indemnité forfaitaire en application de la Convention de sécurité sociale entre la Confédération suisse et l'Espagne du 13 octobre 1969 (RS 0.831.109. 332.2) était possible à certaines conditions (cf. l'art. 7 de la Convention). Or depuis l'entrée en vigueur de l'ALCP un tel versement n'est, par contre, plus possible pour des faits déterminants s'étant produits ultérieurement, comme dans le cas en examen, les règlements n°1408/71 et n°574/72 ne prévoyant pas le versement d'indemnités forfaitaires, sauf exception non réalisée en l'espèce (cf. ATF 130 V 156 et arrêt du Tribunal fédéral H 123/03 du 13 février 2004 consid. 7). Il sied par ailleurs de relever que selon les indications mêmes de l'assuré le montant perçu pour les mois de juin à septembre 2009 s'est monté à 70.68 Euros, ce qui correspond à CHF 108.- au cours de 1 Euro = CHF 1.528. Les cours moyens de l'Euro de la Banque nationale suisse de juin à septembre 2009 ont été de CHF 1.5145, 1.5202, 1.5240 et 1.5148 pour 1 Euro. Même de minimes différences de cours en relation à un versement effectif ne peuvent justifier le versement d'une indemnité forfaitaire portant sur l'ensemble de la prestation de vieillesse.</w:t>
      </w:r>
    </w:p>
    <w:p>
      <w:r>
        <w:rPr>
          <w:b/>
        </w:rPr>
        <w:t>E. 9</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10</w:t>
      </w:r>
    </w:p>
    <w:p>
      <w:r>
        <w:t>Il n'est pas perçu de frais de procédure (art. 85bis al. 2 LAVS) ni, vu l'issue du recours,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