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C-7835/2010 vom 21. August 2012</w:t>
      </w:r>
    </w:p>
    <w:p>
      <w:r>
        <w:t>Bundesverwaltungsgericht, 2012-08-21, DE</w:t>
      </w:r>
    </w:p>
    <w:p>
      <w:r>
        <w:rPr>
          <w:b/>
        </w:rPr>
        <w:t xml:space="preserve">Quelle: </w:t>
      </w:r>
      <w:r>
        <w:t>https://mcp.opencaselaw.ch/entscheid/bvger_C-7835_2010</w:t>
      </w:r>
    </w:p>
    <w:p>
      <w:r>
        <w:t>FR: TAF C-7835/2010 du 21 août 2012</w:t>
      </w:r>
    </w:p>
    <w:p>
      <w:r>
        <w:t>IT: TAF C-7835/2010 del 21 agosto 2012</w:t>
      </w:r>
    </w:p>
    <w:p>
      <w:pPr>
        <w:pStyle w:val="Heading2"/>
      </w:pPr>
      <w:r>
        <w:t>Regeste</w:t>
      </w:r>
    </w:p>
    <w:p>
      <w:r>
        <w:t>Rente</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Schweizerischen Ausgleichskasse, welche eine Vorinstanz des Bundesverwaltungsgerichts darstellt (Art. 33 Bst. d VGG). Eine Ausnahme, was das Sachgebiet angeht, ist in casu nicht gegeben (Art. 32 VGG; vgl. auch Art. 85bis Abs. 1 des Bundesgesetzes über die Alters- und Hinterlassenenversicherung vom 20. Dezember 1946 [AHVG, SR 831.10] in Verbindung mit Art. 58 Abs. 2 des Bundesgesetzes über den Allgemeinen Teil des Sozialversicherungsrechts vom 6. Oktober 2000 [ATSG, SR 830.1]), so dass das Bundesverwaltungsgericht zur Beurteilung der vorliegenden Beschwerde zuständig ist.</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ATSG vorbehalten. Gemäss Art. 2 ATSG sind die Bestimmungen dieses Gesetzes auf die bundesgesetzlich geregelten Sozialversicherungen anwendbar, wenn und soweit die einzelnen Sozialversicherungsgesetze es vorsehen. Nach Art. 1 Abs. 1 AHVG sind die Bestimmungen des ATSG auf die im ersten Teil geregelte Alters- und Hinterlassenenversicherung anwendbar, soweit das vorliegende Gesetz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1.3</w:t>
      </w:r>
    </w:p>
    <w:p>
      <w:r>
        <w:t>Im Rahmen des Beschwerdeverfahrens kann die Verletzung von Bundesrecht unter Einschluss des Missbrauchs oder der Überschreitung des Ermessens, die unrichtige oder unvollständige Feststellung des Sachverhalts sowie Unangemessenheit des Entscheids gerügt werden (Art. 49 VwVG).</w:t>
      </w:r>
    </w:p>
    <w:p>
      <w:r>
        <w:rPr>
          <w:b/>
        </w:rPr>
        <w:t>E. 2.1</w:t>
      </w:r>
    </w:p>
    <w:p>
      <w:r>
        <w:t>Anfechtungsgegenstand des vorliegenden Verfahrens ist die Einspracheverfügung der Schweizerischen Ausgleichskasse vom 7. Oktober 2010, womit auch die mit der angefochtenen Einspracheverfügung bestätigte Rückerstattungsverfügung vom 6. September 2010 mit angefochten ist. Beide stellen ohne Zweifel Verfügungen im Sinne von Art. 5 VwVG dar.</w:t>
      </w:r>
    </w:p>
    <w:p>
      <w:r>
        <w:rPr>
          <w:b/>
        </w:rPr>
        <w:t>E. 2.2</w:t>
      </w:r>
    </w:p>
    <w:p>
      <w:r>
        <w:t>Der Anfechtungsgegenstand wird durch die angefochtene Verfügung bestimmt. Davon zu unterscheiden ist der Streitgegenstand. Im Bereich der nachträglichen Verwaltungsrechtspflege ist der Streitgegenstand das Rechtsverhältnis, welches - im Rahmen des durch die Verfügung bestimmten Anfechtungsgegenstandes - den aufgrund der Beschwerdebegehren effektiv angefochtenen Verfügungsgegenstand bildet (vgl. BGE 131 V 164 E. 2.1, BGE 125 V 413 E. 1b, BGE 119 Ib 36 E. 1b mit Hinweisen; Fritz Gygi, Bundesverwaltungsrechtspflege, 2. Aufl., Bern 1983, S. 44 ff.). Ausgangspunkt und zugleich äusserster Rahmen für die Definition des Streitgegenstands ist der Anfechtungsgegenstand. Der Beschwerdeführer kann entweder den Anfechtungsgegenstand in seiner Gesamtheit zur Überprüfung bringen oder den Streitgegenstand enger definieren als den Anfechtungsgegenstand. Der Streitgegenstand kann sich somit zwar um nicht streitige Punkte reduzieren, nicht aber über den Anfechtungsgegenstand hinaus ausweiten. Nur in speziell gelagerten Ausnahmefällen akzeptiert die Rechtsprechung gelegentlich eine Ausweitung des Streitgegenstands, etwa aus prozessökonomischen Überlegungen, wenn der bisherige Streitgegenstand in einem derart engen Sachzusammenhang zur neuen Streitfrage steht, dass von einer Tatbestandsgesamtheit gesprochen werden kann, und wenn sich die Verwaltung dazu zumindest in Form einer Prozesserklärung geäussert hat (Markus Müller, in: Auer/Müller/Schindler [Hrsg.], Kommentar zum Bundesgesetz über das Verwaltungsverfahren VwVG, Zürich/St. Gallen 2008, Art. 44 Rz. 5; BGE 122 V 34 E. 2a; Urteil des Bundesverwaltungsgerichts C-5218/2009 vom 29. Oktober 2010 E. 4.2).</w:t>
      </w:r>
    </w:p>
    <w:p>
      <w:r>
        <w:rPr>
          <w:b/>
        </w:rPr>
        <w:t>E. 2.3.1</w:t>
      </w:r>
    </w:p>
    <w:p>
      <w:r>
        <w:t>Mit der angefochtenen Einspracheverfügung hat die Vorinstanz die Einsprache des inzwischen verstorbenen C._______ gegen ihre Verfügung vom 6. September 2010 abgewiesen, mit welcher sie die Rückzahlung der während der Zeit vom 1. Juni 2008 bis zum 31. Juli 2010 angeblich zu Unrecht bezogenen Kinderrente im Gesamtbetrage von Fr. 22'769.-- zugunsten des Pflegekindes A._______ angeordnet und zugleich angedroht hatte, die Altersrente bis zur Tilgung der Schuld einzubehalten, es sei denn, C._______ würde ein Erlassgesuch stellen. Auf das mit seiner Einsprache formulierte subsidiäre Erlassgesuch ist die Vorinstanz allerdings einstweilen noch nicht eingetreten.</w:t>
      </w:r>
    </w:p>
    <w:p>
      <w:r>
        <w:rPr>
          <w:b/>
        </w:rPr>
        <w:t>E. 2.3.2</w:t>
      </w:r>
    </w:p>
    <w:p>
      <w:r>
        <w:t>Gemäss der damit bestätigten Verfügung vom 6. September 2010 hat die Vorinstanz gestützt auf Art. 25 ATSG jedenfalls die Rückzahlung der angeblich unrechtmässig bezogenen Kinderrenten verfügt. Nach Art. 25 Abs. 1 ATSG sind unrechtmässig bezogene Leistungen zurückzuerstatten. Wer Leistungen in gutem Glauben empfangen hat, muss sie nicht zurückerstatten, wenn eine grosse Härte vorliegt. Der Rückforderungsanspruch erlischt mit dem Ablauf eines Jahres, nachdem die Versicherungseinrichtung davon Kenntnis erhalten hat, spätestens aber mit dem Ablauf von fünf Jahren nach der Entrichtung der einzelnen Leistung (Abs. 2 der genannten Bestimmung). Dabei ist nach ständiger Lehre und Rechtsprechung die Rückforderung nur unter der Voraussetzung der prozessualen Revision oder der Wiedererwägung der formell rechtskräftigen Verfügung, mit welcher die betreffende Leistung zugesprochen worden ist, zulässig (vgl. Art. 53 Abs. 1 und Abs. 2 ATSG). Gemäss Art. 53 Abs. 2 ATSG kann der Versicherungsträger auf formell rechtskräftige Verfügungen oder Einspracheentscheide zurückkommen, wenn diese zweifellos unrichtig sind und ihre Berichtigung von erheblicher Bedeutung ist. Betreffend das Kriterium der offensichtlichen Unrichtigkeit ist ein restriktiver Massstab anzusetzen, wenn der Wiederer­wägungsgrund im Bereich der materiellen Anspruchsvoraussetzungen liegt, handelt es sich doch hierbei um Anspruchsvoraussetzungen, deren Beurteilung in Bezug auf gewisse Schritte und Elemente notwendiger­weise Ermessenszüge aufweist. Erscheint die Beurteilung der materiellen Anspruchsvoraussetzungen vor dem massgebenden Hintergrund der Sach- und Rechtslage wie sie sich im Zeitpunkt der rechtskräftigen Leistungszusprechung darbot als vertretbar, scheidet die Annahme zweifelloser Unrichtigkeit aus (vgl. Ueli Kieser, ATSG-Kommentar, 2. Aufl., Zürich 2009, Art. 53 Rz. 31 f.). Formell rechtskräftige Verfügungen und Einspracheentscheide müssen in Revision gezogen werden, wenn die versicherte Person oder der Versicherungsträger nach deren Erlass erhebliche neue Tatsachen entdeckt oder Beweismittel auffindet, deren Beibringung zuvor nicht möglich war (Art. 53 Abs. 1 ATSG). Die Festlegung einer Rückerstattung von Leistungen erfolgt also in einem mehrstufigen Verfahren. In einem ersten Entscheid ist über die Frage der Unrechtmässigkeit des Bezugs der Leistung zu befinden. Dabei ist wie gesagt auf Art. 53 ATSG abzustellen. Daran schliesst der Entscheid über die Rückerstattung an (Ueli Kieser, a.a.O., Art. 25 Rz. 8).</w:t>
      </w:r>
    </w:p>
    <w:p>
      <w:r>
        <w:rPr>
          <w:b/>
        </w:rPr>
        <w:t>E. 2.3.3</w:t>
      </w:r>
    </w:p>
    <w:p>
      <w:r>
        <w:t>Im vorliegenden Fall hat die Vorinstanz im Dispositiv der Rückerstattungsverfügung vom 6. September 2010 einzig die Rückzahlung selbst verfügt, ohne dass die Unrechtmässigkeit des Leistungsbezugs festgestellt und die Wiedererwägung oder die Revision des früheren Entscheids formell verfügt worden wäre. Allerdings wird in den Erwägungen der Rückerstattungsverfügung ausdrücklich festgehalten, dass die Rente für das Kind A._______ vom 1. Juni 2006 bis zum 31. Juli 2010 zu Unrecht ausbezahlt worden sei.</w:t>
      </w:r>
    </w:p>
    <w:p>
      <w:r>
        <w:rPr>
          <w:b/>
        </w:rPr>
        <w:t>E. 2.3.4</w:t>
      </w:r>
    </w:p>
    <w:p>
      <w:r>
        <w:t>Das oben beschriebene mehrstufige Verfahren wird in der Praxis aus prozessökonomischen Gründen grundsätzlich in derselben Verfügung zusammengefasst, so dass die versicherte Person die Möglichkeit erhält, beide Punkte (die Wiedererwägung resp. Revision der rentenzusprechenden Verfügung und die Rückerstattung) anzufechten (vgl. in verschiedenen Bereichen der Sozialversicherung etwa Urteile des Bundesgerichts 9C_650/2011 vom 18. Juni 2012, 8C_731/2011 vom 24. Januar 2012 und 9C_482/2009 vom 19. Februar 2010 sowie Urteil des Bundesverwaltungsgerichts C-5479/2009 vom 4. November 2011). Dass die angefochtene Verfügung vorliegend beide Elemente enthält, ist daher nicht zu beanstanden.</w:t>
      </w:r>
    </w:p>
    <w:p>
      <w:r>
        <w:rPr>
          <w:b/>
        </w:rPr>
        <w:t>E. 2.3.5</w:t>
      </w:r>
    </w:p>
    <w:p>
      <w:r>
        <w:t>Problematisch ist allerdings, wenn wie vorliegend das eine Element (die Rückzahlung) formell im Dispositiv enthalten ist und das andere (die Feststellung der Unrechtmässigkeit der Kinderrente) nur in den Erwägungen, denn anfechtbar ist grundsätzlich nur das Dispositiv einer Verfügung, es sei denn, dass das Dispositiv auf eine Erwägung verweist. Ansonsten ist die Begründung nicht anfechtbar (André Moser/Michael Beusch/Lorenz Kneubühler, Prozessieren vor dem Bundesverwaltungsgericht, Basel 2008, S. 26 Rz 2.9 f; Philippe Weissenberger, in: Waldmann/Weissenberger [Hrsg.], Praxiskommentar zum Bundesgesetz über das Verwaltungsverfahren, Zürich/Basel/Genf 2009, Art. 61 N. 42 f.; Madeleine Camprubi, in: Auer/Müller/Schindler [Hrsg.], Kommentar zum Bundesgesetz über das Verwaltungsverfahren VwVG, Zürich/St. Gallen 2008, Art. 61 Rz. 24). Im vorliegenden Fall hat die Vorinstanz mit der Feststellung der (angeblich) unrechtmässigen Zahlung in den Erwägungen mindestens implizite auch ihre ursprüngliche, rentenzusprechende Verfügung vom 7. Mai 2008 in Wiedererwägung gezogen und gleichzeitig die Weiterauszahlung der Kinderrente per 31. Juli 2010 eingestellt. Wenn man davon ausgeht, dass mit dem Anfechtungsgegenstand nur die Rückerstattung verfügt worden ist, kann vorliegend ausnahmsweise eine Ausdehnung des Streitgegenstands auf die implizite Wiedererwägung der ursprünglichen Verfügung angenommen werden. So ist das Bestehen eines sehr engen Sachzusammenhanges zwischen Wiedererwägung und Rückerstattung offensichtlich und hat sich die Vorinstanz im Beschwerdeverfahren auch zur Weiterausrichtung der Kinderrente geäussert.</w:t>
      </w:r>
    </w:p>
    <w:p>
      <w:r>
        <w:rPr>
          <w:b/>
        </w:rPr>
        <w:t>E. 2.4</w:t>
      </w:r>
    </w:p>
    <w:p>
      <w:r>
        <w:t>Unbestritten ist, dass die Beschwerde von C._______ frist- und formgerecht eingereicht worden war (vgl. Art. 60 ATSG und Art. 52 Abs. 1 VwVG).</w:t>
      </w:r>
    </w:p>
    <w:p>
      <w:r>
        <w:rPr>
          <w:b/>
        </w:rPr>
        <w:t>E. 3.1</w:t>
      </w:r>
    </w:p>
    <w:p>
      <w:r>
        <w:t>Weder der heutige Beschwerdeführer A._______ noch seine leibliche Mutter B._______ sind allerdings die ursprünglichen Adressaten der angefochtenen Einspracheverfügung (und der Rückerstattungsverfügung). Adressat war der nun während des Beschwerdeverfahrens am 9. November 2011 verstorbene C._______. Somit stellt sich die Frage der Beschwerdelegitimation von A._______ (und allenfalls diejenige seiner Mutter).</w:t>
      </w:r>
    </w:p>
    <w:p>
      <w:r>
        <w:rPr>
          <w:b/>
        </w:rPr>
        <w:t>E. 3.2</w:t>
      </w:r>
    </w:p>
    <w:p>
      <w:r>
        <w:t>Nach Art. 48 Abs. 1 VwVG ist zur Beschwerde berechtigt, wer vor der Vorinstanz am Verfahren teilgenommen oder keine Möglichkeit zur Teilnahme erhalten hat (Bst. a), durch die Verfügung besonders berührt ist (Bst. b) und ein schutzwürdiges Interesse an deren Änderung oder Aufhebung geltend machen kann (Bst. c). Diese (kumulativen) Kriterien sollen die Popularbeschwerde ausschliessen und den Charakter des allgemeinen Beschwerderechts als Instrument des Individualrechtsschutzes unterstreichen. Der Beschwerdeführer muss einen praktischen Nutzen aus einer allfälligen Aufhebung oder Änderung des angefochtenen Entscheids ziehen, das heisst, seine Situation muss durch den Ausgang des Verfahrens in relevanter Weise beeinflusst werden können (BGE 133 II 249 E. 1.3.1 mit Hinweisen). Das relevante Interesse kann rechtlicher oder tatsächlicher Natur sein und braucht nicht mit jenem übereinzustimmen, das durch die als verletzt bezeichnete Norm geschützt wird. Es genügt, dass der Beschwerdeführer durch den angefochtenen Entscheid "stärker als jedermann" betroffen ist und "in einer besonderen, beachtenswerten, nahen Beziehung zur Streitsache" steht; die Voraussetzungen der Beziehungsnähe und des schutzwürdigen Interesses hängen eng zusammen (vgl. BGE 135 II 172 E. 2.1, Urteil des Bundesgerichts 2C_527/2007 vom 13. Mai 2008 E. 5.3; BVGE 2007/20 E. 2.4.1; Vera Marantelli-Sonanini/Said Huber in: Waldmann/Weissenberger [Hrsg.], Praxiskommentar zum Bundesgesetz über das Verwaltungsverfahren, Zürich/Basel/Genf 2009, Art. 48 N. 10 f.).</w:t>
      </w:r>
    </w:p>
    <w:p>
      <w:r>
        <w:rPr>
          <w:b/>
        </w:rPr>
        <w:t>E. 3.3.1</w:t>
      </w:r>
    </w:p>
    <w:p>
      <w:r>
        <w:t>Da C._______ während des Beschwerdeverfahrens verstorben ist, ist die angefochtene Verfügung noch nicht in Rechtskraft erwachsen, so dass er bis zu seinem Tod seine Altersrente ausbezahlt bekam und die Vorinstanz die Rückzahlung zumindest von ihm selbst als Verfügungsadressaten nicht mehr zurückfordern kann.</w:t>
      </w:r>
    </w:p>
    <w:p>
      <w:r>
        <w:rPr>
          <w:b/>
        </w:rPr>
        <w:t>E. 3.3.2</w:t>
      </w:r>
    </w:p>
    <w:p>
      <w:r>
        <w:t>Hingegen können die Erben, welche die Erbschaft nicht ausschlagen, das Beschwerdeverfahren fortsetzen, zumal die auf öffentlichem Recht beruhenden Geldforderungen und Geldschulden des Erblassers mit seinem übrigen Vermögen auf die Erben übergehen. Der für zivilrechtliche Forderungen in Art. 560 Abs. 2 ZGB aufgestellte Grundsatz der Schuldnachfolge gilt auch für öffentlich-rechtliche Schulden, sofern sie vermögensrechtlicher Natur sind. Nachdem das AHVG keine abweichende Regelung getroffen hat, muss dieser im Verwaltungsrecht allgemein geltende Grundsatz auch im Gebiete der AHV Anwendung finden. Die Rückerstattungsschuld des Erblassers wird daher eine persönliche Schuld der Erben. Vorbehalten bleibt aber eine allfällige Ausschlagung der Erbschaft gemäss Art. 566 ZGB (BGE 96 V 73 E. 1).</w:t>
      </w:r>
    </w:p>
    <w:p>
      <w:r>
        <w:rPr>
          <w:b/>
        </w:rPr>
        <w:t>E. 3.3.3</w:t>
      </w:r>
    </w:p>
    <w:p>
      <w:r>
        <w:t>Im vorliegenden Fall sind die unverheiratete Lebenspartnerin B._______ und ihr leiblicher Sohn A._______ jedenfalls nicht dessen gesetzliche Erben. Aus den Akten ist nicht ersichtlich, ob sie als Erben eingesetzt worden sind. Demgegenüber ist den Akten zu entnehmen, dass der geschiedene C._______ eine in der Schweiz lebende Tochter hat (act. 1). Hingegen kann dem am 31. März 1994 geborenen und somit inzwischen volljährig gewordenen A._______ vorliegend durchaus ein eigenes, schutzwürdiges Interesse hinsichtlich der Feststellung zugesprochen werden, dass die bezahlten Rentenleistungen (Kinderrente) angeblich unrechtmässig waren, was die Einstellung der Auszahlung über den 31. Juli 2010 zur Folge hatte, denn als Pflegekind hätte er Anspruch auf eine Pflegekindrente bis zum Tode des Pflegevaters am 9. November 2011 und dann darüber hinaus auf eine Waisenkindrente bis zum Abschluss seiner Ausbildung (Art. 49 Abs. 1 der Verordnung über die Alters- und Hinterlassenenversicherung [AHVV, SR 831.101] vom 31. Oktober 1947), zumal keine Anzeichen bestehen, dass die Mutter den nun fehlenden Unterhaltsteil neu übernommen hätte (Art. 49 Abs. 3 AHVV).</w:t>
      </w:r>
    </w:p>
    <w:p>
      <w:r>
        <w:rPr>
          <w:b/>
        </w:rPr>
        <w:t>E. 3.3.4</w:t>
      </w:r>
    </w:p>
    <w:p>
      <w:r>
        <w:t>Damit ergibt sich, dass A._______ hinsichtlich des Anspruchs auf die Pflegekind- resp. die spätere Waisenkindrente selbst beschwerdelegitimiert ist und das Beschwerdeverfahren mit Blick auf den erweiterten Streitgegenstand (vgl. vorne E. 2.3.5) deshalb weiterführen darf. Auf die Beschwerde ist daher einzutreten.</w:t>
      </w:r>
    </w:p>
    <w:p>
      <w:r>
        <w:rPr>
          <w:b/>
        </w:rPr>
        <w:t>E. 4.1</w:t>
      </w:r>
    </w:p>
    <w:p>
      <w:r>
        <w:t>Vorliegend ist die Vorinstanz (implizite) auf ihre Verfügung vom 7. Mai 2008 zurückgekommen, da sie nachträglich bemerkt hat, dass im Zeitpunkt der Verfügung eine Bestätigung der mit der Pflegekinderaufsicht betrauten Behörde über die Bewilligung für das betreffende Pflegekindverhältnis gefehlt habe, wie es die RWL des BSV verlange (Rz 4313). Der (verstorbene) Beschwerdeführer hatte demgegenüber geltend gemacht, dass eine solche Bestätigung nicht nötig sei, da der Nachweis eines faktischen Pflegekindverhältnis genüge, was sich u.a. e contrario aus BGE 128 V 116 E. 4a und vor allem aus Art. 1 Abs. 1 der gestützt auf Art. 316 Abs. 2 ZGB erlassenen Verordnung vom 19. Oktober 1977 über die Aufnahme von Kindern zur Pflege und Adoption (PAVO, SR 211.222.338) ergebe, wonach die Aufnahme von Unmündigen ausserhalb des Elternhauses einer Bewilligung bedürfe. Damit seien Pflegekindverhältnisse gemeint, bei welchen ein Kind nicht, wie im vorliegenden Fall, mit einem leiblichen Elternteil zusammenlebe. Zudem werde gemäss Art. 4 PAVO eine Bewilligungspflicht nur für Kinder unter 15 Jahren verlangt. Des Weiteren widerspreche das Verhalten der Vorinstanz dem Grundsatz von Treu und Glauben und sei im Übrigen überspitzt formalistisch: wäre er bereits im Rahmen der Anmeldung im Jahre 2008 zur Einreichung der Bewilligung aufgefordert worden, hätte er diese ohne Zweifel zu diesem Zeitpunkt erhalten und rechtzeitig eingereicht.</w:t>
      </w:r>
    </w:p>
    <w:p>
      <w:r>
        <w:rPr>
          <w:b/>
        </w:rPr>
        <w:t>E. 4.2</w:t>
      </w:r>
    </w:p>
    <w:p>
      <w:r>
        <w:t>Personen, welchen eine Altersrente zusteht, haben für jedes Kind, das im Falle ihres Todes eine Waisenrente beanspruchen könnte, Anspruch auf eine Kinderrente. Pflegekinder haben beim Tod der Pflegeeltern Anspruch auf eine Waisenrente nach Art. 25 AHVG, wenn sie unentgeltlich zu dauernder Pflege und Erziehung aufgenommen worden sind (Art. 49 Abs. 1 AHVV in Verbindung mit Art. 25 Abs. 3 AHVG).</w:t>
      </w:r>
    </w:p>
    <w:p>
      <w:r>
        <w:rPr>
          <w:b/>
        </w:rPr>
        <w:t>E. 4.3.1</w:t>
      </w:r>
    </w:p>
    <w:p>
      <w:r>
        <w:t>Den vorstehenden Gesetzesbestimmungen, aus welchen sich der Anspruch auf eine Kinderrente für Pflegekinder ableiten lässt, lassen sich weder in Bezug auf die Art der einzureichenden Belege noch auf den für die Einreichung massgebenden Zeitpunkt Vorschriften entnehmen. Die Vorinstanz verlangte eine Bestätigung der mit der Pflegekinderaufsicht betrauten Behörde über die Bewilligung für das betreffende Pflegekindverhältnis offenbar gestützt auf Rz 4313 der RWL des BSV.</w:t>
      </w:r>
    </w:p>
    <w:p>
      <w:r>
        <w:rPr>
          <w:b/>
        </w:rPr>
        <w:t>E. 4.3.2</w:t>
      </w:r>
    </w:p>
    <w:p>
      <w:r>
        <w:t>Bei der von der Vorinstanz beigezogenen RWL handelt es um eine Verwaltungsweisung. Die für die Verwaltung verbindlichen Weisungen und Kreisschreiben sind generelle Dienstanweisungen einer Behörde an die untergeordneten Behörden. Die Verwaltungsweisungen stellen keine Rechtssätze dar und sind daher für den Richter nicht bindend. Sie dienen der gleichmässigen Anwendung des Rechts durch die Verwaltung. Der Richter soll die Weisungen bei seiner Entscheidung mitberücksichtigen, sofern sie eine dem Einzelfall angepasste und gerecht werdende Aus­legung der anwendbaren Gesetzesbestimmungen zulassen. Er weicht insoweit davon ab, als die Weisungen mit den anwendbaren gesetzlichen Bestimmungen oder der Verfassung nicht vereinbar sind (BGE 132 V 200 E. 5.1.2, 117 Ib 225 E. 4b, jeweils mit Hinweisen; vgl. auch Ulrich Häfelin/Georg Müller/ Felix Uhlmann, Allgemeines Verwaltungsrecht, 6. Aufl., Zürich/St. Gallen 2010, Rz. 123 ff.).</w:t>
      </w:r>
    </w:p>
    <w:p>
      <w:r>
        <w:rPr>
          <w:b/>
        </w:rPr>
        <w:t>E. 4.3.3</w:t>
      </w:r>
    </w:p>
    <w:p>
      <w:r>
        <w:t>In Kapitel 4.7 der RWL werden besondere Erfordernisse für einzelne Renten aufgeführt. Unterkapitel 4.7.1 behandelt die vorzunehmenden Abklärungen bei Pflegekinder. Darunter wird in Rz 4313 unter ausdrücklichem Verweis auf Art. 316 ZGB verlangt, dass der Anmeldung eine Be­stätigung der mit der Pflegekinderaufsicht betrauten zuständigen (Vormundschafts-)Behörde über die Erteilung der Bewilligung für das betreffende Pflegekindverhältnis beizulegen sei. Bestehe nach den einschlägigen Vorschriften keine Bewilligungspflicht, ist auch dieser Sachverhalt durch eine Bescheinigung der genannten Behörde zu belegen. Gemäss Art. 316 ZGB, auf welchen Rz 4313 RWL verweist, bedürfen Personen, welche Pflegekinder aufnehmen, grundsätzlich einer Bewilligung der Vormundschaftsbehörde oder einer andern vom kantonalen Recht bezeichneten Stelle seines Wohnsitzes (Abs. 1). Der Bundesrat hat gestützt auf Abs. 2 dieser Norm mit der PAVO Ausführungsbestimmungen erlassen. In Art. 1 Abs. 1 PAVO wird festgehalten, dass die Aufnahme von Unmündigen ausserhalb des Elternhauses gemäss dieser Verordnung einer Bewilligung bedarf und der Aufsicht untersteht. Die Auffassung des Beschwerdeführers, wonach jedenfalls für Pflegekinder, die im eigenem Haushalt wie der leibliche Elternteil, der auch die elterliche Sorge hat, keine Bewilligung einzuholen ist, wird in der spärlichen Lehre einhellig geteilt (Hans Bättig, Die Pflegekinderaufsicht im Bund und in den Kantonen, Freiburger Diss., Verlag Pro Juventute, Zürich 1984, S. 67 ff., Christine Vogel-Etienne, Das Pflegeverhältnis vor der Adoption, Zürcher Diss., Zürich 1981, S. 61 und 70). Diese geht sogar weiter, indem sie annimmt, dass generell alle Personen, zwischen denen ein Eltern-Kind-Verhältnis besteht, unabhängig davon, ob sie Inhaber der elterlichen Sorge sind oder nicht oder ob ihnen die Obhut entzogen worden ist, von der Bewilligungspflicht auszuschliessen sind. Dies gilt gleichermassen für den vom Inhaber der elterlichen Sorge geschiedenen Elternteil wie für den mit dem ersteren nie verheiratet gewesenen (Albert Guler in: ZVW 1997, S. 94 ff., 2008 überarbeitet und wiedergegeben in: http://www.lotse.zh.ch/ documents/ajb/fj/allg/merk_empf/Pflegekinderbewilligung_Elternteil_ohne _Obhut.pdf). In der Rechtsprechung ist diese spezifische Frage soweit ersichtlich nicht zum Thema gemacht worden.</w:t>
      </w:r>
    </w:p>
    <w:p>
      <w:r>
        <w:rPr>
          <w:b/>
        </w:rPr>
        <w:t>E. 4.3.4</w:t>
      </w:r>
    </w:p>
    <w:p>
      <w:r>
        <w:t>Im vorliegenden Fall lebte das Pflegekind zusammen mit seiner leiblichen Mutter und dem Pflegevater und Lebenspartner der Mutter im selben Haushalt, und es genoss eine unentgeltliche, dauernde Pflege und Erziehung im Sinne von Art. 49 Abs. 1 AHVV. Damit waren die Voraussetzungen zur Zusprechung einer Kinderrente ohne Zweifel erfüllt und brauchte es in dieser Konstellation im Lichte von Art. 1 Abs. 1 PAVO nicht einer zusätzlichen Pflegekinderbewilligung der zuständigen Behörde. Die Vorinstanz hatte die Kinderrente zugunsten des heutigen Beschwerdeführers zu Recht mit Verfügung vom 7. Mai 2008 zugesprochen. Demgegenüber hat sie diese ursprüngliche Verfügung mit Verfügung vom 6. Sep­tember 2010, welche sie mit der angefochtenen Einspracheverfügung vom 7. Oktober 2010 bestätigt hat, zu Unrecht implizite revidiert. Es gab keinen Grund, ihre ursprüngliche Verfügung wiedererwägungs- resp. revisionsweise aufzuheben.</w:t>
      </w:r>
    </w:p>
    <w:p>
      <w:r>
        <w:rPr>
          <w:b/>
        </w:rPr>
        <w:t>E. 4.4</w:t>
      </w:r>
    </w:p>
    <w:p>
      <w:r>
        <w:t>Selbst wenn man annehmen würde, dass eine solche behördliche Bestätigung nötig gewesen wäre, hätten die philippinischen Bestätigungen und Berichte von 2010 für die Annahme eines Pflegeverhältnisses genügen müssen. Aus diesen kann entnommen werden, dass der Pflegevater sich seit Jahren, also jedenfalls im Zeitpunkt der Rentenanmeldung, um das Pflegekind nach den einschlägigen Bestimmungen gekümmert hat und ein faktisches Pflegeverhältnis bestand. Die zeitliche Begrenzung dieser behördlichen Bewilligung von August 2010 bis Juli 2011 ist rein formeller Natur und zeigt, dass eine solche einjährige, verlängerbare Bewilligung angesichts des sozialen Berichts zum Pflegeverhältnis (vgl. Foster Care Assessment Report, act. 1/11) mit überwiegender Wahrscheinlichkeit auch erteilt worden wäre, wenn sie bereits 2008 verlangt und eingeholt worden wäre. Es erscheint überspitzt formalistisch, aus diesem rein administrativ für die Zukunft festgelegten Zeitraum abzuleiten, vor dem Monat August 2010 sei das Pflegeverhältnis willentlich nicht bewilligt, ohne zumindest eine diesbezügliche Erklärung der Behörde eingeholt zu haben.</w:t>
      </w:r>
    </w:p>
    <w:p>
      <w:r>
        <w:rPr>
          <w:b/>
        </w:rPr>
        <w:t>E. 4.5</w:t>
      </w:r>
    </w:p>
    <w:p>
      <w:r>
        <w:t>Insgesamt ist die Beschwerde hinsichtlich der mit der Verfügung vom 6. September 2010 implizit verfügten revisionsweise Aufhebung der vorinstanzlichen Verfügung vom 7. Mai 2008 gutzuheissen, was zur Folge hat, dass der damit verknüpften Einstellung der Auszahlung der Kinderrente ab dem 31. Juli 2010, der gleichzeitig am 6. September 2010 verfügten Rückerstattung und der Einspracheverfügung vom 7. Oktober 2010 der Boden vollends entzogen ist.</w:t>
      </w:r>
    </w:p>
    <w:p>
      <w:r>
        <w:rPr>
          <w:b/>
        </w:rPr>
        <w:t>E. 5.1</w:t>
      </w:r>
    </w:p>
    <w:p>
      <w:r>
        <w:t>Das Verfahren ist für die Parteien kostenlos (Art. 85bis Abs. 2 AHVG), so dass keine Verfahrenskosten zu erheben sind.</w:t>
      </w:r>
    </w:p>
    <w:p>
      <w:r>
        <w:rPr>
          <w:b/>
        </w:rPr>
        <w:t>E. 5.2</w:t>
      </w:r>
    </w:p>
    <w:p>
      <w:r>
        <w:t>Der obsiegenden Partei kann von Amtes wegen oder auf Begehren eine Entschädigung für ihr erwachsene notwendige und verhältnismässig hohe Kosten zugesprochen werden (Art. 64 Abs. 1 VwVG in Verbindung mit Art. 7 Abs. 1 des Reglements vom 21. Februar 2008 über die Kosten und Entschädigungen vor dem Bundesverwaltungsgericht [VGKE, SR 173.320.2]). Die Parteientschädigung umfasst die Kosten der Vertretung sowie allfällige weitere notwendige Auslagen der Partei (Art. 8 VGKE). Dem anwaltlich vertretenen Beschwerdeführer ist zu Lasten der Vorinstanz für den gebotenen und aktenkundigen Aufwand eine Parteientschädigung von Fr. 1'500.-- exklusive MWST, welche vorliegend nicht zu entschädigen ist (vgl. Urteil C-5808/2008 des Bundesverwaltungsgerichts vom 5. Februar 2010 E. 5.2), zuzusprechen (vgl. Art. 14 Abs. 2 VGKE). Der unterliegenden Vorinstanz ist keine Parteientschädigung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