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C-7820/2009 vom 4. November 2011</w:t>
      </w:r>
    </w:p>
    <w:p>
      <w:r>
        <w:t>Bundesverwaltungsgericht, 2011-11-04, DE</w:t>
      </w:r>
    </w:p>
    <w:p>
      <w:r>
        <w:rPr>
          <w:b/>
        </w:rPr>
        <w:t xml:space="preserve">Quelle: </w:t>
      </w:r>
      <w:r>
        <w:t>https://mcp.opencaselaw.ch/entscheid/bvger_C-7820_2009</w:t>
      </w:r>
    </w:p>
    <w:p>
      <w:r>
        <w:t>FR: TAF C-7820/2009 du 4 novembre 2011</w:t>
      </w:r>
    </w:p>
    <w:p>
      <w:r>
        <w:t>IT: TAF C-7820/2009 del 4 novembre 2011</w:t>
      </w:r>
    </w:p>
    <w:p>
      <w:pPr>
        <w:pStyle w:val="Heading2"/>
      </w:pPr>
      <w:r>
        <w:t>Regeste</w:t>
      </w:r>
    </w:p>
    <w:p>
      <w:r>
        <w:t>Einreiseverbot</w:t>
      </w:r>
    </w:p>
    <w:p>
      <w:pPr>
        <w:pStyle w:val="Heading2"/>
      </w:pPr>
      <w:r>
        <w:t>Erwägungen</w:t>
      </w:r>
    </w:p>
    <w:p>
      <w:r>
        <w:rPr>
          <w:b/>
        </w:rPr>
        <w:t>E. 1</w:t>
      </w:r>
    </w:p>
    <w:p>
      <w:r>
        <w:t>Aufgrund des engen persönlichen und sachlichen Zusammenhangs rechtfertigt es sich, die Beschwerdeverfahren C-7820/2009 und C 7821/2009 zu vereinigen.</w:t>
      </w:r>
    </w:p>
    <w:p>
      <w:r>
        <w:rPr>
          <w:b/>
        </w:rPr>
        <w:t>E. 2.1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2.2</w:t>
      </w:r>
    </w:p>
    <w:p>
      <w:r>
        <w:t>Das Rechtsmittelverfahren vor dem Bundesverwaltungsgericht richtet sich nach dem VwVG, soweit das Verwaltungsgerichtsgesetz nichts anderes bestimmt (Art. 37 VGG).</w:t>
      </w:r>
    </w:p>
    <w:p>
      <w:r>
        <w:rPr>
          <w:b/>
        </w:rPr>
        <w:t>E. 2.3</w:t>
      </w:r>
    </w:p>
    <w:p>
      <w:r>
        <w:t>Die Beschwerdeführer sind als Verfügungsadressaten zur Beschwerde legitimiert (Art. 48 Abs. 1 VwVG). Auf die frist- und formgerecht eingereichte Be­schwerde ist somit einzutreten (Art. 49 ff. VwVG).</w:t>
      </w:r>
    </w:p>
    <w:p>
      <w:r>
        <w:rPr>
          <w:b/>
        </w:rPr>
        <w:t>E. 2.4</w:t>
      </w:r>
    </w:p>
    <w:p>
      <w:r>
        <w:t>Das Bundesverwaltungsgericht entscheidet endgültig (vgl. Art. 83 Bst. c Ziff. 1 des Bundesgerichtsgesetzes vom 17. Juni 2005 [BGG, SR 173.110]).</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4</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in der vorliegenden Konstellation mit den obgenannten Grundsätzen vereinbar (vgl. BBl 2009 8896). Da der bisherige Art. 67 Abs. 1 Bst. a AuG mit dem neuen Art. 67 Abs. 2 Bst. a AuG identisch ist und vorliegend kein Einreiseverbot mit einer Dauer von mehr als fünf Jahren zur Diskussion steht, ändert sich für die Beschwerdeführer im Ergebnis ohnehin nichts.</w:t>
      </w:r>
    </w:p>
    <w:p>
      <w:r>
        <w:rPr>
          <w:b/>
        </w:rPr>
        <w:t>E. 5.2</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für vergangenes Fehlverhalten, sondern als Massnahme zur Abwendung künftiger Störungen der öffentlichen Sicherheit und Ordnung (vgl. BBl 2002 3813).</w:t>
      </w:r>
    </w:p>
    <w:p>
      <w:r>
        <w:rPr>
          <w:b/>
        </w:rPr>
        <w:t>E. 6.1</w:t>
      </w:r>
    </w:p>
    <w:p>
      <w:r>
        <w:t>Sofern sie keiner Erwerbstätigkeit nachgehen, benötigen Auslän-derinnen und Ausländer für einen Aufenthalt in der Schweiz von bis zu drei Monaten keine Bewilligung (Art. 10 Abs. 1 AuG). Art. 9 Abs. 1 VZAE hält präzisierend fest, dass Ausländerinnen und Ausländer ohne Erwerbstätigkeit in der Schweiz für einen Aufenthalt von bis zu drei Monaten innerhalb eines Zeitraums von sechs Monaten nach der (erstmaligen) Einreise keine Bewilligung benötigen und sich nicht anmelden müssen (bewilligungsfreier Aufenthalt), wobei die Einreisevoraussetzungen nach Art. 5 AuG während des gesamten bewilligungsfreien Aufenthalts erfüllt sein müssen (Art. 9 Abs. 2 VZAE). Sofern hingegen ein längerer Aufenthalt ohne Erwerbstätigkeit beabsichtigt ist, ist dafür eine Bewilligung erforderlich, welche vor der Einreise in die Schweiz bei der am vorgesehenen Wohnort zuständigen Behörde zu beantragen ist (vgl. Art. 10 Abs. 2 AuG). In diesem Zusammenhang gilt es insbesondere zu beachten, dass die Frist von drei Monaten nicht nur für den Aufenthalt in der Schweiz gilt, sondern für den Aufenthalt im gesamten Schengenraum. Personen, die - wie die Beschwerdeführer - gemäss EU-Visum-Verordnung zur Einreise in den Schengenraum kein Visum benötigen, dürfen sich somit während höchstens dreier Monate innerhalb eines Zeitraumes von sechs Monaten im Schengenraum aufhalten und müssen während des gesamten Aufenthalts die Einreisevoraussetzungen nach Art. 5 Abs. 1 SGK erfüllen (Art. 20 Abs. 1 SDÜ).</w:t>
      </w:r>
    </w:p>
    <w:p>
      <w:r>
        <w:rPr>
          <w:b/>
        </w:rPr>
        <w:t>E. 6.2</w:t>
      </w:r>
    </w:p>
    <w:p>
      <w:r>
        <w:t>Gemäss Eintrag in ihren Reisepässen (Einreisestempel) reisten die Beschwerdeführer am 11. Dezember 2008 in den Schengenraum ein, womit der bewilligungsfreie 90-tägige Aufenthalt spätestens am 10. März 2009 ablief. Unbestrittenermassen dauerte ihr Aufenthalt in der Bundesrepublik Deutschland bzw. in der Schweiz bis zum 6. Juni 2009, womit sie die bewilligungsfreie Aufenthaltsdauer um fast drei Monate überschritten und sich dadurch widerrechtlich im Schengenraum aufgehalten haben. In Bezug auf die Verfehlungen, derentwegen die Beschwerdeführer straf- und ausländerrechtlich belangt wurden,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 wie von den Beschwerdeführern geltend gemacht -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6.3</w:t>
      </w:r>
    </w:p>
    <w:p>
      <w:r>
        <w:t>Im vorliegenden Fall haben die Beschwerdeführer mit der nicht unerheblichen Überschreitung des bewilligungsfreien Aufenthaltes gegen ausländerrechtliche Vorschriften von zentraler Bedeutung verstossen, womit die Voraussetzungen für ein Einreiseverbot gemäss Art. 67 Abs. 1 Bst. a AuG in der Fassung vom 1. Januar 2008 bzw. Art. 67 Abs. 2 Bst. a AuG in der Fassung vom 1. Januar 2011 fraglos erfüllt sind. Die gegen die Beschwerdeführer verhängten Fernhaltemassnahmen erweisen sich damit in grundsätzlicher Hinsicht als gerechtfertigt.</w:t>
      </w:r>
    </w:p>
    <w:p>
      <w:r>
        <w:rPr>
          <w:b/>
        </w:rPr>
        <w:t>E. 7.1</w:t>
      </w:r>
    </w:p>
    <w:p>
      <w:r>
        <w:t>Es bleibt zu prüfen, ob die angeordneten Massnahmen in richtiger Ausübung des Ermessens ergangen und angemessen sind.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Auflage, Zürich / St. Gallen 2010, Rz. 613 ff.).</w:t>
      </w:r>
    </w:p>
    <w:p>
      <w:r>
        <w:rPr>
          <w:b/>
        </w:rPr>
        <w:t>E. 7.2</w:t>
      </w:r>
    </w:p>
    <w:p>
      <w:r>
        <w:t>Das Fehlverhalten der Beschwerdeführer wiegt objektiv nicht leicht. Es beinhaltet die Missachtung ausländerrechtlicher Normen, denen im Interesse einer funktionierenden Rechtsordnung eine zentrale Bedeutung zukommt. Auf der anderen Seite ist die Gefahr weiterer gleichgelagerter Zuwiderhandlungen nicht in dem Masse zu veranschlagen, wie zum Zeitpunkt des Erlasses der angefochtenen Verfügungen von der Vorinstanz angenommen wurde, beruhte doch der den Beschwerdeführern vorgeworfene Verstoss gegen fremdenpolizeiliche Bestimmungen offenbar auf einer Fehlinterpretation der Einreise- oder Aufenthaltsvorschriften. Ausserdem zeigten sich die Beschwerdeführer bei der polizeilichen Einvernahme einsichtig und kooperativ.</w:t>
      </w:r>
    </w:p>
    <w:p>
      <w:r>
        <w:rPr>
          <w:b/>
        </w:rPr>
        <w:t>E. 7.3</w:t>
      </w:r>
    </w:p>
    <w:p>
      <w:r>
        <w:t>Eine Abwägung der gegenläufigen öffentlichen und privaten Interessen führt zum Ergebnis, dass die Einreiseverbote dem Grundsatze nach zu bestätigen sind, in Bezug auf die ausgesprochene Dauer jedoch als unangemessen lang erscheinen. Angesichts der konkreten Umstände ist davon auszugehen, dass dem öffentlichen Interesse an der Fernhaltung der Beschwerdeführer bis zum Zeitpunkt dieses Entscheides hinreichend Rechnung getragen wird.</w:t>
      </w:r>
    </w:p>
    <w:p>
      <w:r>
        <w:rPr>
          <w:b/>
        </w:rPr>
        <w:t>E. 8</w:t>
      </w:r>
    </w:p>
    <w:p>
      <w:r>
        <w:t>Aus diesen Erwägungen ergibt sich, dass die auf je drei Jahre bemessenen Einreiseverbote Bundesrecht verletzen (vgl. Art. 49 VwVG). Die Beschwerde ist daher teilweise gutzuheissen und die gegen die Beschwerdeführer verhängten Einreiseverbote auf das Datum des Urteils zu befristen.</w:t>
      </w:r>
    </w:p>
    <w:p>
      <w:r>
        <w:rPr>
          <w:b/>
        </w:rPr>
        <w:t>E. 9</w:t>
      </w:r>
    </w:p>
    <w:p>
      <w:r>
        <w:t>Bei diesem Ausgang des Verfahrens sind die (ermässigten) Verfahrenskosten den Beschwerdeführern aufzuerlegen und mit dem geleisteten Kostenvorschuss zu verrechnen (Art. 63 Abs. 1 VwVG i.V.m. Art. 1, Art. 2 und Art. 3 Bst. b des Reglements vom 21. Februar 2008 über die Kosten und Entschädigungen vor dem Bundesverwaltungsgericht [VGKE, SR 173.320.2]). Eine Parteientschädigung ist nicht auszurichten, da den Beschwerdeführern keine verhältnismässig hohen Kosten entstanden sind (Art. 64 Abs. 1 VwVG und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