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C-7817/2009 vom 23. Juni 2010</w:t>
      </w:r>
    </w:p>
    <w:p>
      <w:r>
        <w:t>Bundesverwaltungsgericht, 2010-06-23, DE</w:t>
      </w:r>
    </w:p>
    <w:p>
      <w:r>
        <w:rPr>
          <w:b/>
        </w:rPr>
        <w:t xml:space="preserve">Quelle: </w:t>
      </w:r>
      <w:r>
        <w:t>https://mcp.opencaselaw.ch/entscheid/bvger_C-7817_2009</w:t>
      </w:r>
    </w:p>
    <w:p>
      <w:r>
        <w:t>FR: TAF C-7817/2009 du 23 juin 2010</w:t>
      </w:r>
    </w:p>
    <w:p>
      <w:r>
        <w:t>IT: TAF C-7817/2009 del 23 giugno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die zu den Vorinstanzen des Bundesverwaltungsgerichts gehört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38 ff. und Art. 60 ATSG). Als Adressat der angefochtenen Verfügung ist der Beschwerdeführer berührt und hat ein schutzwürdiges Interesse an deren Aufhebung oder Änderung (vgl. Art. 59 ATSG). Zusammenfassend ergibt sich, dass sämtliche Prozessvoraussetzun-gen erfüllt sind. Auf die Beschwerde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1.5.1</w:t>
      </w:r>
    </w:p>
    <w:p>
      <w:r>
        <w:t>Anfechtungsobjekt bildet die Verfügung vom 3. Dezember 2009 (act. 135), mit welcher die Vorinstanz die Überprüfung des Leistungsgesuchs des Beschwerdeführers bis zur Aufhebung der Einreisesperre sistiert hat. Streitig und zu prüfen ist die Rechtmässigkeit dieser Sistierung und in diesem Zusammenhang, ob die Vorgehensweise der Vorinstanz eine ungerechtfertigte Verwaltungsverfahrensverzögerung in Sinne einer Rechtsverweigerung darstellt resp. die Erfüllung der vom BFM geforderten Auflagen aufgrund der daraus resultierenden Kosten und des Risikos als letztlich unverhältnismässig zu qualifizieren ist.</w:t>
      </w:r>
    </w:p>
    <w:p>
      <w:r>
        <w:rPr>
          <w:b/>
        </w:rPr>
        <w:t>E. 1.5.2</w:t>
      </w:r>
    </w:p>
    <w:p>
      <w:r>
        <w:t>Unter den Parteien nicht strittig ist, dass eine Begutachtung in der Schweiz erforderlich ist und dass sich der Beschwerdeführer nicht geweigert hatte, sich in der Schweiz abklären und begutachten zu lassen. Vielmehr liess er in der Replik vom 9. April 2010 zusammengefasst ausführen, er sei in der Schweiz durch einen Schweizer Psychiater zu begutachten (B-act. 7; vgl. hierzu Art. 43 Abs. 2 ATSG). Er ist demnach unbestrittenermassen willens und bereit, sich einer Begutachtung in der Schweiz zu unterziehen, weshalb ihm von vornherein weder eine krasse noch eine wiederholte Verletzung der Mitwirkungspflicht vorgeworfen werden kann, was im Übrigen auch von der Vorinstanz nicht vorgebracht wurde. Diese hat in Anwendung von Art. 43 Abs. 3 ATSG somit zu Recht nicht aufgrund der Akten verfügt oder einen Nichteintretensentscheid erlassen.</w:t>
      </w:r>
    </w:p>
    <w:p>
      <w:r>
        <w:rPr>
          <w:b/>
        </w:rPr>
        <w:t>E. 2.1</w:t>
      </w:r>
    </w:p>
    <w:p>
      <w:r>
        <w:t>Gemäss Art. 40 Abs. 1 der Verordnung vom 17. Januar 1961 über die Invalidenversicherung (IVV, SR 831.201) ist zur Entgegennahme und Prüfung eines Leistungsbegehrens diejenige IV-Stelle zuständig, in deren Tätigkeitsgebiet die versicherte Person ihren Wohnsitz hat; wohnt die versicherte Person im Ausland, ist die IVSTA zuständig. Die einmal begründete Zuständigkeit der IV-Stelle bleibt im Verlaufe des Verfahrens erhalten (perpetuatio fori; Art. 40 Abs. 3 IVV).</w:t>
      </w:r>
    </w:p>
    <w:p>
      <w:r>
        <w:rPr>
          <w:b/>
        </w:rPr>
        <w:t>E. 2.2</w:t>
      </w:r>
    </w:p>
    <w:p>
      <w:r>
        <w:t>Vorliegend steht fest, dass der Beschwerdeführer die Schweiz per April 2006 verlassen musste und das Dossier während des laufenden Vorbescheidsverfahrens von der IV-Stelle ZH an die Vorinstanz überwiesen worden war (vgl. Bst. D. hiervor), welche in der Folge am 3. Dezember 2009 trotz weiterhin bestehender (ausschliesslicher) örtlicher Zuständigkeit der IV-Stelle ZH die angefochtene Verfügung erliess (act. 135). Dieser Entscheid erging mithin von einer örtlich unzuständigen Behörde.</w:t>
      </w:r>
    </w:p>
    <w:p>
      <w:r>
        <w:rPr>
          <w:b/>
        </w:rPr>
        <w:t>E. 2.3</w:t>
      </w:r>
    </w:p>
    <w:p>
      <w:r>
        <w:t>Der Wechsel der IV-Stelle vor Erlass der angefochtenen Verfügung vom 3. Dezember 2009 widerspricht Art. 40 Abs. 3 IVV. Diese Vorschrift, wonach die einmal begründete Zuständigkeit im Verlaufe des Verfahrens erhalten bleibt, gilt grundsätzlich auch im Verhältnis kantonale IV-Stellen/IVSTA. Vorliegend hätte somit richtigerweise die kantonale IV-Stelle ZH verfügen müssen. Mit anderen Worten ist der Wechsel der IV-Stelle vor der Verfügung über den Rentenanspruch als gesetzwidrig zu bezeichnen. Da nach dem Dargelegten die angefochtene Verfügung vom 3. Dezember 2009 von der örtlich unzuständigen Vorinstanz erlassen wurden, stellt sich die Frage nach deren rechtlichen Schicksal. Die Verfügung einer örtlich unzuständigen IV-Stelle ist in der Regel nicht nichtig (ZAK 1989 S. 606 Erw. 1b; vgl. auch Urteil des Bundesgerichts I 914/06 vom 3. Oktober 2007, E. 3.2 und BGE 122 I 97 E. 3a/aa). Da vorliegend die fehlende Zuständigkeit nicht gerügt wurde und aufgrund der gegebenen Aktenlage in der Sache entschieden werden kann, ist von der Aufhebung der Verfügung der Vorinstanz mangels örtlicher Zuständigkeit abzusehen, da dies zu einem formalistischen Leerlauf ohne Vorteil für den Versicherten führen würde und dem Grundsatz der Prozessökonomie widerspräche (vgl. zum Ganzen SVR 2005 IV Nr. 39 S. 146 f. E. 3 [Urteil I 232/03 des Eidg. Versicherungsgerichts {EVG; seit 1. Januar 2007: Bundesgericht} vom 22. Januar 2004, E. 3.1 und 3.3.1 mit weiteren Hinweisen; vgl. auch Urteile I 8/02 des EVG vom 16. Juli 2002 mit weiteren Hinweisen und I 817/05 des Bundesgerichts vom 5. Februar 2007, E. 5 mit weiteren Hinweisen). Zu ergänzen ist, dass der Vorinstanz und der IV-Stelle ZH die gleichen sachlichen Aufgaben zukommen und sie materiell aufgrund der gleichen Rechtsgrundlagen zu befinden haben.</w:t>
      </w:r>
    </w:p>
    <w:p>
      <w:r>
        <w:rPr>
          <w:b/>
        </w:rPr>
        <w:t>E. 3.1</w:t>
      </w:r>
    </w:p>
    <w:p>
      <w:r>
        <w:t>Der Versicherungsträger prüft die Begehren, nimmt die notwendigen Abklärungen von Amtes wegen vor und holt die erforderlichen Auskünfte ein. Mündlich erteilte Auskünfte sind schriftlich festzuhalten (Art. 43 Abs. 1 ATSG).</w:t>
      </w:r>
    </w:p>
    <w:p>
      <w:r>
        <w:rPr>
          <w:b/>
        </w:rPr>
        <w:t>E. 3.2</w:t>
      </w:r>
    </w:p>
    <w:p>
      <w:r>
        <w:t>Der Grundsatz der Verhältnismässigkeit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SVR 2001 IV Nr. 17 S. 51 E. 4b). Nach der Rechtsprechung ist dieser Grundsatz auch bei Leistungsnormen zu beachten, indem er im Rahmen der verfassungskonformen Auslegung bei Pflichten oder Lasten, welche im Sozialversicherungsrecht den anspruchsberechtigten Personen auferlegt werden, zu berücksichtigen ist (BGE 113 V 22 E. 4d).</w:t>
      </w:r>
    </w:p>
    <w:p>
      <w:r>
        <w:rPr>
          <w:b/>
        </w:rPr>
        <w:t>E. 3.3</w:t>
      </w:r>
    </w:p>
    <w:p>
      <w:r>
        <w:t>Nach Art. 29 Abs. 1 BV haben die Parteien in Verfahren vor Gerichts- und Verwaltungsinstanzen Anspruch auf gleiche und gerechte Behandlung sowie auf Beurteilung innert angemessener Frist. Damit wurden verschiedene, durch die bundesgerichtliche Rechtsprechung zu Art. 4 aBV konkretisierte Teilaspekte des Verbots der formellen Rechtsverweigerung und -verzögerung in einem Verfassungsartikel zusammengefasst. Die unter der Herrschaft der aBV ergangene Rechtsprechung zur Frage des Anspruchs auf eine Beurteilung innert angemessener Frist ist nach wie vor massgebend (SVR 2001 IV Nr. 24 S. 73 E. 3a). Eine Verletzung von Art. 29 Abs. 1 BV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(RKUV 2004 U 506 S. 255 E. 3; zu Art. 4 aBV ergangene, weiterhin geltende Rechtsprechung: BGE 117 Ia 116 E. 3a, 114 V 145 E. 3a; ARV 1993/94 S. 178 E. 3a).</w:t>
      </w:r>
    </w:p>
    <w:p>
      <w:r>
        <w:rPr>
          <w:b/>
        </w:rPr>
        <w:t>E. 4.1</w:t>
      </w:r>
    </w:p>
    <w:p>
      <w:r>
        <w:t>Mit Blick auf die vom BFM in dessen Schreiben vom 12. Mai 2009 gemachten Auflagen (act. 124) ist vorab festzuhalten, dass sich die Argumentation der Vorinstanz im Zusammenhang mit der am 3. Dezember 2009 verfügten Sistierung (act. 135) nicht vordergründig auf die Kosten für die Begutachtung als solche (Gutachterhonorar) und die Reise- und Aufenthaltskosten (Flugticketpreis, Verpflegung und Unterkunft) bezog. Dies ist auch belegt durch den Umstand, dass die Vorinstanz bereits im Rahmen der beabsichtigten und in der Folge - wegen Fehlens des erforderlichen Visums - gescheiterten Begutachtung in der Schweiz im Jahre 2007/2008 Dr. med. F._______ mit einer medizinischen Abklärung beauftragt und ein Hotelzimmer für zwei Übernachtungen (inkl. Frühstück) reserviert hatte (act. 68, 74 bis 85). Weiter behauptete die Vorinstanz korrekterweise auch nicht, dass ihr aus der Bekanntgabe des genauen Ein- und Ausreisedatums sowie der Notwendigkeit eines gültigen Reisedokuments Kosten entstünden. Anders verhält es sich hingegen mit den Kosten der Betreuung resp. Bewachung während der Zeit der Begutachtung in der Schweiz durch die Polizei oder eine private Sicherheitsunternehmung (vgl. act. 128), führte die Vorinstanz diesbezüglich in der angefochtenen Verfügung vom 3. Dezember 2009 doch aus, eine Betreuung über 24 Stunden während dreier Tage für die medizinische Abklärung sei mit überhöhtem Kostenaufwand verbunden (act. 135). Demnach ist nachfolgend einzig zu prüfen, wie viel Zeit eine solche Begutachtung benötigt und ob die daraus resultierenden Betreuungs- und Bewachungskosten verhältnismässig sind.</w:t>
      </w:r>
    </w:p>
    <w:p>
      <w:r>
        <w:rPr>
          <w:b/>
        </w:rPr>
        <w:t>E. 4.2.1</w:t>
      </w:r>
    </w:p>
    <w:p>
      <w:r>
        <w:t>Im Zusammenhang mit der Dauer einer Untersuchung erkannte das EVG im Entscheid I 719/05 vom 17. November 2006, eine lediglich 20 Minuten dauernde psychiatrische Exploration zeige nicht von vornherein eine Sorgfaltswidrigkeit des Gutachters an (vgl. auch Urteile I 842/05 vom 1. Juni 2006, E. 2.2.4, und I 954/05 vom 24. Mai 2006, E. 3.2.1). Für den Aussagegehalt eines Arztberichts könne es nicht auf die Dauer der Untersuchung ankommen. Massgeblich sei vielmehr, ob der Bericht inhaltlich vollständig und im Ergebnis schlüssig sei (E. 3). Im Urteil I 1094/06 vom 14. November 2007 wurde unter Nennung zahlreicher Hinweise ergänzend erkannt, der für eine psychiatrische Untersuchung zu betreibende zeitliche Aufwand sei von der Fragestellung und der zu beurteilenden Psychopathologie abhängig. So sei eine eigentliche Geisteskrankheit mit deutlicher Ausprägung der Symptomatik oft in kurzer Frist diagnostizierbar, während ein sehr hoher Zeitaufwand erforderlich sein könne, um den Verdacht auf eine Simulation einer psychischen Störung zu klären, eine schwierige Persönlichkeitsstörung zu erhellen oder problematische Fragen nach dem Zusammenhang zwischen traumatischen äusseren Ereignissen und nachfolgender Symptomatik zu erörtern. Ein genereller Zeitrahmen für eine Untersuchung lasse sich nicht allgemeingültig definieren. Das Bundesgericht habe mit Bezug auf ein forensisches Gutachten zur Frage der Zurechnungsfähigkeit in einem Strafprozess festgehalten, eine sorgfältige Beurteilung könne kaum im Rahmen einer ein- oder zweistündigen Untersuchung eines zuvor unbekannten Menschen gelingen. Wichtigste Grundlage gutachtlicher Schlussfolgerungen sei die klinische Untersuchung mit Anamneseerhebung, Symptomerfassung und Verhaltensbeobachtung.</w:t>
      </w:r>
    </w:p>
    <w:p>
      <w:r>
        <w:rPr>
          <w:b/>
        </w:rPr>
        <w:t>E. 4.2.2</w:t>
      </w:r>
    </w:p>
    <w:p>
      <w:r>
        <w:t>Mit Blick auf die vorstehend zusammengefasst wiedergegebene höchstrichterliche Rechtsprechung ist zwar erstellt, dass sich ein genereller Zeitrahmen für eine Untersuchung nicht allgemein gültig definieren lässt. Andererseits ist ohne Weiteres von der Möglichkeit auszugehen, dass der Versicherte von einem erfahrenen und versierten Facharzt für Psychiatrie und Psychotherapie im Verlaufe eines Tages rechtsgenüglich begutachtet werden kann. Indem Dr. med. F._______ die Vorinstanz im Rahmen der 2007/2008 vorgesehenen, jedoch gescheiterten Begutachtung in der Schweiz am 8. November 2007 über den Begutachtungstermin (3. Januar 2008) orientiert hatte, ging dieser offensichtlich ebenfalls nicht von einer längeren Untersuchungsdauer aus, um im Anschluss daran einen inhaltlich vollständigen und im Ergebnis schlüssigen und überzeugenden Arztbericht verfassen zu können (act. 71). Nichts Gegenteiliges dürfte sich mit überwiegender Wahrscheinlichkeit auch im Rahmen einer neuen Begutachtung ergeben; auch die Vorinstanz vertrat in ihrem Schreiben vom 29. April 2009 an das BFM die Ansicht, dass die Untersuchung in einem Tag abgeschlossen werden könne (act. 123). Es ergibt sich demnach zusammenfassend, dass der Beschwerdeführer während seines Aufenthalts in der Schweiz im Verlaufe eines Tages begutachtet werden kann. Ob diese Begutachtung direkt im Flughafen Zürich in einem geeigneten Raum oder extern in den Räumlichkeiten des beauftragten Facharztes stattzufinden hat, ist insbesondere mit dem untersuchenden Psychiater zu klären. Betreffend die Verhältnismässigkeit der Begutachtung in der Schweiz ergibt sich abschliessend Folgendes:</w:t>
      </w:r>
    </w:p>
    <w:p>
      <w:r>
        <w:rPr>
          <w:b/>
        </w:rPr>
        <w:t>E. 4.3.1</w:t>
      </w:r>
    </w:p>
    <w:p>
      <w:r>
        <w:t>Vorliegend ist in nicht zu beanstandender Weise unbestritten, dass die Begutachtung in der Schweiz zweifelsfrei geeignet ist, den Gesundheitszustand des Beschwerdeführers in psychiatrischer Hinsicht abzuklären. Auch ist eine umfassende Untersuchung in der Schweiz erforderlich, da sich der Gesundheitszustand und dessen Auswirkungen auf die Arbeits- und Leistungsfähigkeit mit Blick auf die gesamten bisher verfassten medizinischen Akten nicht rechtsgenüglich feststellen lässt.</w:t>
      </w:r>
    </w:p>
    <w:p>
      <w:r>
        <w:rPr>
          <w:b/>
        </w:rPr>
        <w:t>E. 4.3.2</w:t>
      </w:r>
    </w:p>
    <w:p>
      <w:r>
        <w:t>Da nach dem in vorstehender Erwägung 4.2 Dargelegten die Begutachtung in der Schweiz mit überwiegender Wahrscheinlichkeit im Verlauf eines Tages durchgeführt werden kann, ist entgegen der Ansicht der Vorinstanz keineswegs davon auszugehen, dass die Kosten für die vom BFM geforderten Betreuungs- bzw. Bewachungskosten aus dem Ruder laufen. Selbst wenn die Begutachtung länger als einen Tag dauern würde resp. der Beschwerdeführer am Abend vor der Untersuchung anreisen und erst am Morgen des darauf folgenden Tages wieder abreisen würde, wären die Kosten für die persönliche Betreuung/Bewachung durch dafür ausgebildete Fachpersonen während rund 36 Stunden noch überschaubar. Daran vermögen auch die Ausführungen der Vorinstanz nichts zu ändern. Unter diesen Umständen besteht zwischen dem Ziel eines - den höchstrichterlichen Anforderungen an eine medizinische Expertise genügenden - Gutachtens und den dafür aufzuwendenden Kosten und Massnahmen insbesondere im Zusammenhang mit der vom BFM geforderten Betreuung resp. Überwachung ein noch akzeptables Verhältnis.</w:t>
      </w:r>
    </w:p>
    <w:p>
      <w:r>
        <w:rPr>
          <w:b/>
        </w:rPr>
        <w:t>E. 5</w:t>
      </w:r>
    </w:p>
    <w:p>
      <w:r>
        <w:t>Nach dem Dargelegten ist zusammenfassend festzuhalten, dass die von der Vorinstanz verfügte Sistierung nicht rechtmässig war und die Kosten - resultierend aus den vom BFM aufgestellten Auflagen - als insgesamt verhältnismässig zu qualifizieren und von der Invalidenversicherung zu übernehmen sind. Vor diesem Hintergrund ist mit dem Anspruch des Beschwerdeführers auf eine Beurteilung der Streitsache innert angemessener Frist (vgl. E. 3.3 hiervor) nicht vereinbar, die Abklärungen bis zum Ablauf der Einreisesperre einzustellen. In Gutheissung der Beschwerde vom 16. Dezember 2009 ist deshalb die Verfügung vom 3. Dezember 2009 aufzuheben und die Sache im Sinne der Erwägungen an die zuständige IV-Stelle ZH (vgl. E. 2 hiervor) zu überweisen.</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dem Beschwerdeführer keine Kosten aufzuerlegen. Der Vorinstanz werden ebenfalls keine Verfahrenskosten auferlegt (Art. 63 Abs. 2 VwVG).</w:t>
      </w:r>
    </w:p>
    <w:p>
      <w:r>
        <w:rPr>
          <w:b/>
        </w:rPr>
        <w:t>E. 6.2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Unter Berücksichtigung des gebotenen und aktenkundigen Aufwandes erscheint eine Parteientschädigung für Rechtsanwalt Lukas Nater von Fr. 1'500.-- gerechtfertigt.</w:t>
      </w:r>
    </w:p>
    <w:p>
      <w:r>
        <w:rPr>
          <w:b/>
        </w:rPr>
        <w:t>E. 6.3</w:t>
      </w:r>
    </w:p>
    <w:p>
      <w:r>
        <w:t>Bei diesem Ausgang des Verfahrens ist das Gesuch um Erteilung des Rechts auf unentgeltliche Rechtspflege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