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C-7815/2010 vom 23. März 2012</w:t>
      </w:r>
    </w:p>
    <w:p>
      <w:r>
        <w:t>Bundesverwaltungsgericht, 2012-03-23, FR</w:t>
      </w:r>
    </w:p>
    <w:p>
      <w:r>
        <w:rPr>
          <w:b/>
        </w:rPr>
        <w:t xml:space="preserve">Quelle: </w:t>
      </w:r>
      <w:r>
        <w:t>https://mcp.opencaselaw.ch/entscheid/bvger_C-7815_2010</w:t>
      </w:r>
    </w:p>
    <w:p>
      <w:r>
        <w:t>FR: TAF C-7815/2010 du 23 mars 2012</w:t>
      </w:r>
    </w:p>
    <w:p>
      <w:r>
        <w:t>IT: TAF C-7815/2010 del 23 marzo 2012</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4 octobre 2010 est le bien-fondé, suite à la révision du droit à la rente, de la réduction avec effet au 1er décembre 2010 de la rente entière perçue par l'intéressé depuis le 1er mai 2006 à trois quarts de rente d'invalidité, au motif d'une amélioration de son état de santé. Les faits et moyens de preuve déterminants sont ceux établis à l'occasion de la décision prise, des rapports médicaux établis après la décision attaquée ne peuvent être pris en considération que dans la mesure où ils permettent une meilleure compréhension de l'état de santé de l'assuré avant ou au moment de la décision dont est recours. Le droit applicable est celui de la 5ème révision de l'assurance-invalidité entrée en vigueur le 1er janvier 2008. Les dispositions de la 6ème révision (premier volet) en vigueur depuis le 1er janvier 2012 (RO 2011 5659; FF 2010 1647) ne sont pas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l'octroi de la rente entière par décision du 14 février 2007 de l'OAI-GE, ensuite d'une révision ayant constaté une aggravation de l'état de santé, est la base de comparaison avec la décision de réduction dont est recours du 4 octobre 2010 de l'OAIE.</w:t>
      </w:r>
    </w:p>
    <w:p>
      <w:r>
        <w:rPr>
          <w:b/>
        </w:rPr>
        <w:t>E. 6.1</w:t>
      </w:r>
    </w:p>
    <w:p>
      <w:r>
        <w:t>La notion d'invalidité, dont il est question à l'art. 8 LPGA et à l'art. 4 LAI est de nature économique / 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dans le cadre de la procédure inquisitoire sera ainsi requise s'il subsiste des doutes, même minimes, quant au bien-fondé des rapports et expertises médicaux versés au dossier par l'assureur (cf. ATF 122 V 157, 162 consid. 1d; ATF 123 V 175, 176 s consid. 3d; ATF 125 V 351, 353 s consid. 3b ee; cf. aussi les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8.1</w:t>
      </w:r>
    </w:p>
    <w:p>
      <w:r>
        <w:t>En l'espèce l'intéressé fut initialement mis au bénéfice d'une rente entière d'invalidité de durée limitée du 1er novembre 2004 au 30 novembre 2005 suivie d'une demi-rente à compter du 1er décembre 2005 essentiellement sur la base de l'expertise du Dr B._______ du 7 novembre 2005 ayant posé le diagnostic de canal lombaire étroit de type mixte, constitutionnel et dégénératif, L3-L5, status après extirpation d'une hernie discale L3-L4 médiane ayant provoqué un syndrome de la queue de cheval avec récupération incomplète et de claudication neurogène, atteintes entraînant de son avis une incapacité de travail de 50% dans une activité adaptée. A cette époque ce diagnostic fut retenu par l'expertise du Dr B._______ en référence, outre un examen clinique, à une IRM effectuée en 2005 ayant confirmé un canal étroit lombaire. L'état de santé de l'intéressé s'étant aggravé, entraînant de fortes lombalgies et une persistance de la claudication neurogène, l'OAI-GE accorda à l'intéressé une rente entière à compter du 1er mai 2006 par décision du 14 février 2007.</w:t>
      </w:r>
    </w:p>
    <w:p>
      <w:r>
        <w:rPr>
          <w:b/>
        </w:rPr>
        <w:t>E. 8.2</w:t>
      </w:r>
    </w:p>
    <w:p>
      <w:r>
        <w:t>Dans le cadre de la révision en cours les conclusions médicales des Drs D._______ (rapport du 27 octobre 2009) et B._______ (rapport du 6 octobre 2011) sont contradictoires. Bien que le rapport du Dr B._______ ait été établi après la décision attaquée, il doit être pris en compte car il se rapporte également à un status avant la décision dont est recours. Or, il n'est pas impossible qu'au moment de l'expertise du Dr D._______ l'intéressé ait connu une amélioration de son état de santé (momentanée) en relation avec un changement de médication comme l'a indiqué le Dr G.________. Le Dr D._______ posa le diagnostic avec répercussion sur la capacité de travail de lombopygialgies récurrentes chroniques sans signe radiculaire irritatif et de syndrome polyinsertionnel douloureux et le diagnostic sans répercussion sur la capacité de travail de migraine à répétition. Il releva une discordance entre les plaintes, l'impotence fonctionnelle de l'assuré dans ses activités de la vie professionnelle et les examens cliniques et paracliniques, indiqua la présence de peu d'argument parlant en faveur d'une récidive d'un canal lombaire étroit ou d'une irritation radiculaire, indiqua qu'il n'y avait pas d'irritation neurogène, ni de trouble sensitif profond, notamment pas de trouble sphinctérien pouvant évoquer un syndrome de la queue de cheval. De son côté le Dr B._______, sur la base d'un diagnostic proche mais aggravé, retint les signes précités soulignant qu'un canal étroit ne pouvait que s'aggraver et que l'intéressé présentait, à l'examen sur questionnement, un trouble sphinctérien typique de sa pathologie. Il releva par ailleurs que le Dr D._______ avait établi son diagnostic sur la base d'un rapport radiologique alors que l'IRM était le moyen par excellence pour établir le diagnostic de canal étroit et son étendue. D'où le fait qu'en 2005 il avait requis une IRM et qu'en 2010 il avait également requis un tel examen pour apprécier le bien-fondé d'une éventuelle intervention chirurgicale.</w:t>
      </w:r>
    </w:p>
    <w:p>
      <w:r>
        <w:rPr>
          <w:b/>
        </w:rPr>
        <w:t>E. 8.3</w:t>
      </w:r>
    </w:p>
    <w:p>
      <w:r>
        <w:t>Invité à se déterminer sur le recours après la production du rapport médical du Dr B._______, l'administration, sur la base de l'avis du service médical de l'OAI-GE, reconnut la nécessité de verser aux actes une nouvelle IRM pour clarifier les positions contradictoires des Drs D._______ et B._______. Le recourant fait valoir qu'il devrait bénéficier de la reconduction d'une rente complète du fait que l'administration avait pris une décision sur la base d'une instruction incomplète non à même de déterminer l'amélioration de son état de santé. Tel n'est cependant pas le cas car la décision prise par l'administration l'a été sur la base d'une expertise ayant relevé un état de santé permettant une activité adaptée à 50% sans que des rapports médicaux ne mettent cette appréciation concrètement en doute. S'il est vrai comme le relève le service médical de l'OAIE que l'intéressé a présenté un état de santé aggravé lors de l'examen du Dr B._______ quelque une année après celui du Dr D._______, cela ne signifie pas encore qu'au moment de l'examen du Dr D._______ l'intéressé n'était pas en mesure d'exercer une activité adaptée à 50%. Or, les résultats de l'IRM pourront éventuellement confirmer ou infirmer le bien-fondé de l'expertise du Dr D._______.</w:t>
      </w:r>
    </w:p>
    <w:p>
      <w:r>
        <w:rPr>
          <w:b/>
        </w:rPr>
        <w:t>E. 8.4</w:t>
      </w:r>
    </w:p>
    <w:p>
      <w:r>
        <w:t>Il se justifie en conséquence de renvoyer la cause à l'autorité inférieure en application de l'art. 61 PA (cf. ATF 137 V 210 consid. 4.4.1.4) afin qu'elle ordonne une IRM lombaire pour que puisse être vérifiée, cas échéant, une dégradation significative ou non du canal lombaire depuis la dernière IRM effectuée en 2005. En ces circonstances, le recours du 29 octobre 2010 doit être admis, en ce sens que la décision du 4 octobre 2010 doit être annulée et la cause renvoyée à l'autorité inférieure qui rendra une nouvelle décision après avoir complété l'instruction. Le droit à trois quarts de rente versé depuis le 1er décembre 2010, qui n'est pas contesté par l'autorité inférieure, peut être confirmé jusqu'à la date de la décision attaquée (cf. ATF 137 V 314 consid. 3.2.4).</w:t>
      </w:r>
    </w:p>
    <w:p>
      <w:r>
        <w:rPr>
          <w:b/>
        </w:rPr>
        <w:t>E. 9.1</w:t>
      </w:r>
    </w:p>
    <w:p>
      <w:r>
        <w:t>Le recourant ayant eu partiellement gain de cause, il n'est pas perçu de frais de procédure (art. 63 PA) et l'avance de frais fournie de 400 francs lui est restituée intégralement (cf. ATF 132 V 215 consid. 6.2).</w:t>
      </w:r>
    </w:p>
    <w:p>
      <w:r>
        <w:rPr>
          <w:b/>
        </w:rPr>
        <w:t>E. 9.2</w:t>
      </w:r>
    </w:p>
    <w:p>
      <w:r>
        <w:t>Le recourant ayant agi en s'étant fait représenter en cours de procédure, il lui est alloué une indemnité globale de dépens de 2'000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