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C-7797/2008 vom 21. März 2011</w:t>
      </w:r>
    </w:p>
    <w:p>
      <w:r>
        <w:t>Bundesverwaltungsgericht, 2011-03-21, DE</w:t>
      </w:r>
    </w:p>
    <w:p>
      <w:r>
        <w:rPr>
          <w:b/>
        </w:rPr>
        <w:t xml:space="preserve">Quelle: </w:t>
      </w:r>
      <w:r>
        <w:t>https://mcp.opencaselaw.ch/entscheid/bvger_C-7797_2008</w:t>
      </w:r>
    </w:p>
    <w:p>
      <w:r>
        <w:t>FR: TAF C-7797/2008 du 21 mars 2011</w:t>
      </w:r>
    </w:p>
    <w:p>
      <w:r>
        <w:t>IT: TAF C-7797/2008 del 21 marzo 2011</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Anfechtung legitimiert (Art. 48 Abs. 1 VwVG). Auf die frist- und formgerecht eingereichte Beschwerde ist daher einzutreten (Art. 49 ff. VwVG).</w:t>
      </w:r>
    </w:p>
    <w:p>
      <w:r>
        <w:rPr>
          <w:b/>
        </w:rPr>
        <w:t>E. 1.4</w:t>
      </w:r>
    </w:p>
    <w:p>
      <w:r>
        <w:t>Das Bundesverwaltungsgericht entscheidet endgültig (Art. 83 Bst. c Ziff. 3 und Bst. d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BGE 135 II 369 E. 3.3 S. 374 in analogiam oder Urteil 2A.451/2002 vom 28. März 2003 E. 1.2, teilweise publ. in: BGE 129 II 215).</w:t>
      </w:r>
    </w:p>
    <w:p>
      <w:r>
        <w:rPr>
          <w:b/>
        </w:rPr>
        <w:t>E. 3</w:t>
      </w:r>
    </w:p>
    <w:p>
      <w:r>
        <w:t>Strittig ist vorliegend die Höhe des vom BFM zu Gunsten des Bundes vereinnahmten Betrages, welcher sich laut angefochtener Abrechnung vom 7. November 2008 auf Fr. 15'000.- beläuft. Nach Auffassung des Parteivertreters muss sein Mandant aber lediglich Fr. 10'176.50 zurückerstatten. Diese Summe setzt sich aus den beiden Passiv- bzw. Lastschriftpositionen der definitiven Zwischenabrechnung vom 20. November 2003 zusammen (nämlich einer Pauschale von Fr. 8'400.- und den Zahnarztkosten von Fr. 1'776.50), es geht mithin um einen Differenzbetrag von Fr. 4'823.50. Gegenstand des hier zu beurteilenden Verfahrens bildet denn die Frage, ob das Sicherheitskonto Nr. [...] korrekt abgerechnet und aufgelöst wurde.</w:t>
      </w:r>
    </w:p>
    <w:p>
      <w:r>
        <w:rPr>
          <w:b/>
        </w:rPr>
        <w:t>E. 4.1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w:t>
      </w:r>
    </w:p>
    <w:p>
      <w:r>
        <w:rPr>
          <w:b/>
        </w:rPr>
        <w:t>E. 4.2</w:t>
      </w:r>
    </w:p>
    <w:p>
      <w:r>
        <w:t>Der 2. Abschnitt des 5. Kapitels des Asylgesetzes in seiner Fassung vom 26. Juni 1998, die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Soweit im Rahmen der Schlussabrechnung die bezogenen Fürsorgeleistungen aus den Mitteln des Sicherheitskontos nicht gedeckt werden können, gelangen die ordentlichen Regeln über die Rückerstattung der wirtschaftlichen Sozialhilfe zur Anwendung. So will es Art. 9 Abs. 4 der Asylverordnung 2 vom 11. August 1999 über Finanzierungsfragen (AsylV 2, SR 142.312) in ihrer ursprünglichen, bis 31. Dezember 2007 gültig gewesenen Fassung (AS 1999 2318). Die Asylverordnung 2 in der erwähnten Fassung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4.3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welche im Wesentlichen unter denselben Voraussetzungen erhoben werden soll, wie im alten Recht. Allerdings wird auch hier keine Verrechnung mit individuell verrechenbaren Kosten vorgenommen.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4.4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 Art. 8 Abs. 3 AsylV stellt dabei durch Verweis auf Abs. 1 klar, dass dann, wenn der Höchstbetrag der Sonderabgabe von 15'000 Franken weder durch Lohnabzüge noch durch Vermögenswertabnahmen erreicht wird, die Differenz nach den allgemeinen Regeln des kantonalen Rechts über die Rückerstattung bezogener Sozialhilfe geschuldet ist (vgl. dazu auch den erläuternden Bericht des BFM zu den Ausführungsbestimmungen der Teilrevision des Asylgesetzes vom 16. Dezember 2005 S. 22, online abrufbar unter: www.bfm.admin.ch Dokumentation Rechtliche Grundlagen Abgeschlossene Gesetzgebungsprojekte Teilrevision Asylgesetz, besucht am 1. März 2011).</w:t>
      </w:r>
    </w:p>
    <w:p>
      <w:r>
        <w:rPr>
          <w:b/>
        </w:rPr>
        <w:t>E. 4.5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5</w:t>
      </w:r>
    </w:p>
    <w:p>
      <w:r>
        <w:t>Die vorliegende Streitsache beschlägt die Überführung des alten Sicherheitsleistungssystems mit individueller Abrechnung über zurechenbare Kosten in das neue System der Sonderabgabe. Der Beschwerdeführer äufnete noch unter der Geltung des alten Rechts sein Sicherheitskonto mit Lohnabzügen, zunächst als Asylsuchender, später als vorläufig aufgenommene Person. Beim Statuswechsel zur vorläufigen Aufnahme wurde für sein Sicherheitskonto eine Zwischenabrechnung erstellt. Darin setzte die Vorinstanz die bis zu diesem Zeitpunkt rückerstattungspflichtigen Kosten auf Fr. 10'176.50 (Pauschale von Fr. 8'400.-, Zahnarztkosten von Fr. 1'776.50) fest. Davon wurden Fr. 2'100.- aus den Mitteln des Sicherheitskontos gedeckt und Fr. 8'076.50 für die Schlussabrechnung vorgemerkt. Zur Schlussabrechnung kam es mangels Verwirklichung eines Schlussabrechnungsgrundes nicht mehr. Das BFM sah sich daher nach dem Inkrafttreten des neuen Rechts veranlasst, das Sicherheitskonto gestützt auf Abs. 6 bis 8 der Übergangsbestimmungen zur Änderung der AsylV 2 aufzulösen. Zu diesem Zweck erliess es die angefochtene Verfügung. Darin wurden vom fraglichen Sicherheitskonto, welches einen Stand von Fr. 21'029.30 aufwies, noch Fr. 12'900.- zu Gunsten des Bundes eingezogen. In Bezug auf das Restguthaben (Fr. 6'029.30) ordnete die Vorinstanz die Auszahlung an den Beschwerdeführer an. Der vereinnahmte Betrag von Fr. 12'900.- versteht sich dabei als Differenz zwischen dem Maximalbetrag der Sonderabgabe von Fr. 15'000.- einerseits und dem im Rahmen der Zwischenabrechnung zwecks Kostendeckung bereits eingezogenen Betrag von Fr. 2'100.- andererseits.</w:t>
      </w:r>
    </w:p>
    <w:p>
      <w:r>
        <w:rPr>
          <w:b/>
        </w:rPr>
        <w:t>E. 5.1.1</w:t>
      </w:r>
    </w:p>
    <w:p>
      <w:r>
        <w:t>Auf Beschwerdeebene wird in erster Linie geltend gemacht, es verletze den Grundsatz des Vertrauensschutzes, dem Beschwerdeführer anstatt Fr. 10'176.50 plötzlich Fr. 15'000.- rückerstattungspflichte Kosten in Rechnung zu stellen. Nach der bundesgerichtlichen Praxis verleiht der Grundsatz von Treu und Glauben gemäss Art. 9 der Bundesverfassung der Schweizerischen Eidgenossenschaft vom 18. April 1999 (BV, SR 101) einer Person Anspruch auf Schutz des berechtigten Vertrauens in behördliche Zusicherungen oder sonstiges, bestimmte Erwartungen begründendes Verhalten der Behörden. Vorausgesetzt ist zudem, dass die Person, die sich auf den Vertrauensschutz beruft, berechtigterweise auf diese Grundlage vertrauen durfte und gestützt darauf nachteilige Dispositionen getroffen hat, die sie nicht mehr rückgängig machen kann. Schliesslich darf der Berufung auf Treu und Glauben kein überwiegendes öffentliches Interesse entgegenstehen (vgl. Ulrich Häfelin/Georg Müller/Felix Uhlmann, Allgemeines Verwaltungsrecht, 6. Aufl., Zürich/St. Gallen 2010, Rz. 622 ff.).</w:t>
      </w:r>
    </w:p>
    <w:p>
      <w:r>
        <w:rPr>
          <w:b/>
        </w:rPr>
        <w:t>E. 5.1.2</w:t>
      </w:r>
    </w:p>
    <w:p>
      <w:r>
        <w:t>Das Bundesverwaltungsgericht hat sich in einem vergleichbaren Fall in einem Grundsatzurteil inzwischen zur rechtssatzmässigen Ausgestaltung der Sonderabgabe, den entsprechenden Übergangsbestimmungen sowie der konkreten Handhabung einzelner Verordnungsbestimmungen geäussert und befunden, die getroffene Regelung erweise sich als verfassungskonform und der Bundesrat habe seine Verordnungskompetenz delegationskonform wahrgenommen (zum Ganzen vgl. Urteil des Bundesverwaltungsgerichts C-7179/2008 vom 21. Dezember 2010 E. 3 und 6). Folglich vermag der Beschwerdeführer auch aus dem Grundsatz von Treu und Glauben nichts zu seinen Gunsten abzuleiten (zum Vertrauensschutz bei Rechtsänderungen vgl. ergänzend Häfelin/Müller/Uhlmann, a.a.O, Rz. 641- 646). Davon abgesehen wurde in den altrechtlichen Zwischenabrechnungen jeweils nur die Höhe der während des Asylverfahrens rückerstattungspflichtigen Kosten verbindlich festgelegt (vgl. etwa Urteil des Bundesverwaltungsgerichts C-2487/2007 vom 3. Dezember 2008 E. 6). Die Belastung des Kontoinhabers mit sonstigen Aufwendungen (beispielsweise für die Phase der vorläufigen Aufnahme) blieb daneben weiterhin möglich. Nur schon deshalb fällt eine Anrufung von Art. 9 BV ausser Betracht.</w:t>
      </w:r>
    </w:p>
    <w:p>
      <w:r>
        <w:rPr>
          <w:b/>
        </w:rPr>
        <w:t>E. 5.2</w:t>
      </w:r>
    </w:p>
    <w:p>
      <w:r>
        <w:t>Die angefochtene Verfügung stützt sich wie angetönt auf die Übergangsbestimmungen des AsylG und des AuG (siehe E. 4.5 und 4.6 hiervor). Sinn und Zweck dieser übergangsrechtlicher Regelungen ist es, durch Verzicht auf eine individuelle Abrechnung eine effiziente und schnelle Aufhebung aller individuellen, nicht schlussabrechnungsfähigen Konten herbeizuführen sowie einen administrativ günstigen Übergang zum neuen System zu ermöglichen, wobei die fragliche Ausgestaltung ausdrücklich so gewollt bzw. durch einen klaren gesetzlichen Willen gedeckt ist (vgl. Urteil des Bundesverwaltungsgerichts C-7179/2008 vom 21. Dezember 2010 E. 6.2.4 und 6.2.5). Beim Hinweis auf Art. 8 AsylV 2 verkennt der Parteivertreter, dass es bei der Sonderabgabe nicht um die Verrechnung von Sozialhilfekosten geht, mit denen eine einzelne Person unterstützt worden ist, sondern um die Deckung derjenigen Kosten, welche die Gesamtheit aller Abgabepflichtigen als Gruppe verursacht (vgl. Art. 86 Abs. 1 zweiter Satz AsylG sowie E. 4.3 vorstehend). Der Verweis auf die eingereichte Bestätigung der Gemeinde N._______ vom 1. März 2007, wonach der Beschwerdeführer seit dem 1. Dezember 2002 keine Unterstützungsleistungen bezogen hat, erweist sich daher als unbehelflich.</w:t>
      </w:r>
    </w:p>
    <w:p>
      <w:r>
        <w:rPr>
          <w:b/>
        </w:rPr>
        <w:t>E. 5.3</w:t>
      </w:r>
    </w:p>
    <w:p>
      <w:r>
        <w:t>Schliesslich beruft sich der Beschwerdeführer auf Art. 10 Abs. 2 Bst. e AsylV 2, der bestimmt, dass die Sonderabgabepflicht vorläufig aufgenommener Personen nach drei Jahren vorläufiger Aufnahme, spätestens aber sieben Jahre nach der Einreise endet. Der Rechtsvertreter macht geltend, dass sein Mandant diese Voraussetzungen bereits vor dem Inkrafttreten des neuen Rechts erfüllt habe, womit er der Sonderabgabepflicht gar nicht unterstehe. Es entspricht der unter E. 5.2 dargelegten Zielsetzung, den Begriff der Sonderabgabepflicht im Sinne der Übergangsbestimmungen weit auszulegen und als gegeben zu betrachten, wenn der Kontoinhaber von der Regelung des Art. 86 AsylG bzw. Art. 88 AuG erfasst wird (vgl. auch den Wortlaut des Abs. 6 der Übergangsbestimmungen zur Änderung der AsylV 2). Im Vordergrund steht hierbei die Frage der Schlussabrechnungsfähigkeit eines Kontos zum Zeitpunkt des Inkrafttretens des neuen Rechts. Zwar kann die Sonderabgabepflicht auf Verordnungsebene an zusätzliche Anforderungen geknüpft werden, wie es mit Art. 10 Abs. 2 Bst. e AsylV 2 zu Gunsten der vorläufig aufgenommenen Personen geschah. Der Anwendungsbereich der Übergangsbestimmungen bleibt davon jedoch unberührt (vgl. Urteil des Bundesverwaltungsgerichts C-7179/2008 vom 21. Dezember 2010 E. 6.3.2). Der Einwand des Beschwerdeführers ist daher unbegründet.</w:t>
      </w:r>
    </w:p>
    <w:p>
      <w:r>
        <w:rPr>
          <w:b/>
        </w:rPr>
        <w:t>E. 5.4</w:t>
      </w:r>
    </w:p>
    <w:p>
      <w:r>
        <w:t>Aufgrund des Gesagten ist die Vorinstanz bei der Abrechnung auch im konkreten Fall rechtmässig vorgegangen. Da der Beschwerdeführer erst nach dem 1. Januar 2008 eine Aufenthaltsbewilligung erhielt, wurde - wie mehrfach angetönt - korrekterweise das neue Recht angewendet und der Betroffene der Sonderabgabepflicht unterstellt. Der teilsaldierte Betrag von Fr. 2'100.- aus der Zwischenabrechnung wurde hierbei vollumfänglich an die zu leistende Sonderabgabe von Fr. 15'000.- angerechnet und der noch offene Betrag von Fr. 12'900.- dem BFM gutgeschrieben. Das Restguthaben gelangte zur Auszahlung (siehe ebenfalls E. 5 hiervor).</w:t>
      </w:r>
    </w:p>
    <w:p>
      <w:r>
        <w:rPr>
          <w:b/>
        </w:rPr>
        <w:t>E. 6</w:t>
      </w:r>
    </w:p>
    <w:p>
      <w:r>
        <w:t>Abschliessend ist festzuhalten, dass die angefochtene Verfügung im Lichte von Art. 49 VwVG nicht zu beanstanden ist. Die Beschwerde ist deshalb abzuweisen.</w:t>
      </w:r>
    </w:p>
    <w:p>
      <w:r>
        <w:rPr>
          <w:b/>
        </w:rPr>
        <w:t>E. 7</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