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C-778/2006 vom 9. Mai 2007</w:t>
      </w:r>
    </w:p>
    <w:p>
      <w:r>
        <w:t>Bundesverwaltungsgericht, 2007-05-09, DE</w:t>
      </w:r>
    </w:p>
    <w:p>
      <w:r>
        <w:rPr>
          <w:b/>
        </w:rPr>
        <w:t xml:space="preserve">Quelle: </w:t>
      </w:r>
      <w:r>
        <w:t>https://mcp.opencaselaw.ch/entscheid/bvger_C-778_2006</w:t>
      </w:r>
    </w:p>
    <w:p>
      <w:r>
        <w:t>FR: TAF C-778/2006 du 9 mai 2007</w:t>
      </w:r>
    </w:p>
    <w:p>
      <w:r>
        <w:t>IT: TAF C-778/2006 del 9 maggio 2007</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20 Abs. 1 des Bundesgesetzes vom 26. März 1931 über Aufenthalt und Niederlassung der Ausländer [ANAG, SR 142.20] i.V.m. Art. 31, Art. 32 sowie Art. 33 lit. d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Das Urteil ist endgültig (Art. 1 Abs. 2 VGG i.V.m. Art. 83 Bst. c Ziff. 1 des Bundesgesetzes vom 17. Juni 2005 über das Bundesgericht [BGG, SR 173.110]).</w:t>
      </w:r>
    </w:p>
    <w:p>
      <w:r>
        <w:rPr>
          <w:b/>
        </w:rPr>
        <w:t>E. 1.4</w:t>
      </w:r>
    </w:p>
    <w:p>
      <w:r>
        <w:t>Die Beschwerdeführerin ist gemäss Art. 48 VwVG zur Beschwerde legitimiert; auf die frist- und formgerecht eingereichte Beschwerde ist einzutreten (Art. 49 ff. VwVG).</w:t>
      </w:r>
    </w:p>
    <w:p>
      <w:r>
        <w:rPr>
          <w:b/>
        </w:rPr>
        <w:t>E. 1.5</w:t>
      </w:r>
    </w:p>
    <w:p>
      <w:r>
        <w:t>Die Beschwerdeführerin rügt eine Verletzung des Anspruchs auf rechtliches Gehör, indem die Vorinstanz ihr Gesuch um Erteilung eines Einreisevisums abgewiesen habe, ohne sie vorgängig zur Einreichung besonderer Nachweise aufzufordern, welche eine anstandslose und fristgerechte Wiederausreise als wahrscheinlich erscheinen liessen. Dieser Rechtsauffassung kann nicht gefolgt werden: Der verfassungsmässige Anspruch auf rechtliches Gehör (Art. 29 Abs. 2 der Bundesverfassung der Schweizerischen Eidgenossenschaft vom 18. April 1999 [BV, SR 101], Art. 29 VwVG) beschlägt nur die Feststellung des rechtserheblichen Sachverhaltes, nicht aber die rechtliche Würdigung desselben.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Entscheid der Schweizerischen Asylrekurskommission vom 24. Mai 1994, teilweise publiziert in der Verwaltungspraxis des Bundes, VPB 59.53 mit Hinweisen). In Verfahren, die auf Antrag des Betroffenen eingeleitet werden, muss das Äusserungsrecht uno actu mit der Verfahrenseinleitung ausgeübt werden. Der Betroffene hat die Beweise, mit denen er seine Vorbringen zu untermauern gedenkt, gleichzeitig mit der Antragsstellung anzubieten. Aus dem Gehörsanspruch folgt nicht allgemein, dass dem Betroffenen die Gelegenheit zur Bezeichnung von Beweismitteln ausdrücklich gewährt werden muss; eine solche ausdrückliche Aufforderung erübrigt sich insbesondere dann, wenn die Notwendigkeit, eine Behauptung zu beweisen, aus der Verfahrenssituation eindeutig hervorgeht (Klaus Reinhardt, Das rechtliche Gehör in Verwaltungssachen, Zürich 1968, S. 206). Sofern der Antrag aus Gründen abgewiesen werden soll, die dem Betroffenen nicht bekannt sind und zu denen er sich nicht schon in der Antragsbegründung geäussert hat, sind ihm diese Gründe mitzuteilen. Andernfalls entfällt diese Mitteilungspflicht (Klaus Reinhardt, a.a.O., S. 20). Vorliegend wurde das erstinstanzliche Verfahren auf Antrag der Beschwerdeführerin eingeleitet. Dass der Gewähr für eine fristgerechte Wiederausreise grosse Bedeutung zukommt, liegt bei einem Einreisevisum zu Besuchszwecken in der Natur der Sache und muss nicht speziell hervorgehoben werden. Die Beschwerdeführerin hatte allen Anlass, ihre Verhältnisse möglichst vollständig offenzulegen und nach Möglichkeit auszuweisen. Die Vorinstanz stützte ihren anschliessenden negativen Entscheid einzig auf die von der Beschwerdeführerin und ihrem Gastgeber eingereichten Unterlagen und Auskünfte ab. Sie war somit nicht verpflichtet, der Beschwerdeführerin in Form eines Verfügungsentwurfes das Ergebnis ihrer Beweiswürdigung und rechtlichen Beurteilung - nämlich, dass die fristgemässe Wiederausreise nicht gewährleistet sei - vorgängig mitzuteilen, damit sich diese dazu äussern und ergänzende Belege einreichen konnte.</w:t>
      </w:r>
    </w:p>
    <w:p>
      <w:r>
        <w:rPr>
          <w:b/>
        </w:rPr>
        <w:t>E. 1.6</w:t>
      </w:r>
    </w:p>
    <w:p>
      <w:r>
        <w:t>Erachtet die Behörde somit die Visumsvoraussetzungen der gesicherten Wiederausreise nicht als erfüllt, ohne die Partei dazu vorgängig anzuhören und ihr die Gelegenheit zum Gegenbeweis einzuräumen, so verletzt sie nicht deren Anspruch auf rechtliches Gehör. Sie fällt allenfalls einen materiell unrichtigen Entscheid, der als solcher beschwerdeweise beanstandet werden kann. Falls eine Behörde bei der Sachverhaltsermittlung in Gestalt willkürlicher Beweiswürdigung oder Verletzung des Untersuchungsgrundsatzes Verfahrensfehler begeht, so kommt solchen Fehlern in einem Verfahren wie dem vorliegenden keine selbständige Bedeutung zu. Denn das Bundesverwaltungsgericht verfügt dabei über freie Kognition (Art. 49 Bst. b VwVG; vgl. ferner Fritz Gygi, Bundesverwaltungsrechtspflege, 2. Aufl., Bern 1983, S. 287).</w:t>
      </w:r>
    </w:p>
    <w:p>
      <w:r>
        <w:rPr>
          <w:b/>
        </w:rPr>
        <w:t>E. 2.1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der Verordnung vom 14. Januar 1998 über Einreise und Anmeldung von Ausländerinnen und Ausländern [VEA, SR 142.211],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2.2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3.1</w:t>
      </w:r>
    </w:p>
    <w:p>
      <w:r>
        <w:t>Die Beschwerdeführerin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3.2</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3.3</w:t>
      </w:r>
    </w:p>
    <w:p>
      <w:r>
        <w:t>Die aktuelle Lage in Kuba ist - neben den noch immer bestehenden Einschränkungen politischer Freiheitsrechte durch das kommunistische Regime - insbesondere durch eine seit dem Ende des kalten Krieges anhaltende schwierige wirtschaftliche Situation gekennzeichnet. Das durchschnittliche monatliche Salär in Kuba beträgt umgerechnet bloss etwa 12 USD. Die monatlichen Rationen zu stark subventionierten Preisen decken noch die Grundbedürfnisse für zehn Tage. Rund 40 % der Bevölkerung muss damit auskommen, 60 % hat zusätzlich in der einen oder anderen Form Zugang zu Devisen. Aufgrund dieser misslichen Verhältnisse versuchen daher jährlich Tausende von kubanischen Staatsangehörigen, das Land zu verlassen (vgl. etwa Neue Zürcher Zeitung vom 18. Januar 2006: "Immer mehr Kubaner suchen die Freiheit" sowie die von der Vorinstanz eingereichte Lageanalyse der Schweizerischen Vertretung in Havanna vom 16. November 2005). Die Bereitschaft, das Land auf der Suche nach besseren Lebensbedingungen zu verlassen, wird erfahrungsgemäss dort noch begünstigt, wo bereits Verwandte oder Bekannte im Ausland leben und entsprechend ein minimales Beziehungsnetz besteht. Im Falle der Schweiz führt dies angesichts der strengen fremdenpolizeilichen Zulassungspraxis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 Eine Rolle bei der Risikoanalyse spielt aber auch der Aspekt, dass kubanische Staatsangehörige, die sich länger als elf Monate im Ausland aufgehalten haben, in der Regel nicht mehr in ihr Heimatland zurückkehren können (vgl. Michael Kirschner, Kuba: Legale und illegale Aus- und Einreise, Schweizerische Flüchtlingshilfe, Bern 2006). Diese Regelung lädt Migrationswillige geradezu dazu ein, die Verpflichtung zur Wiederausreise zu missachten oder so lange hinauszuzögern, bis eine zwangsweise Wegweisung durch den Aufenthaltsstaat nicht mehr durchgesetzt werden kann.</w:t>
      </w:r>
    </w:p>
    <w:p>
      <w:r>
        <w:rPr>
          <w:b/>
        </w:rPr>
        <w:t>E. 4.1</w:t>
      </w:r>
    </w:p>
    <w:p>
      <w:r>
        <w:t>Bei der Risikoanalyse sind aber nicht nur solch allgemeine Umstände und Erfahrungen, sondern auch sämtliche Gesichtspunkte des konkreten Einzelfalles zu berücksichtigen. Obliegt einem Gesuchsteller im Heimatstaat beispielsweise eine besondere berufliche, gesellschaftliche oder familiäre Verantwortung, kann dieser Umstand durchaus die Prognose für eine anstandslose Wiederausreise begünstigen. Umgekehrt muss bei Gesuchstellern,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4.2</w:t>
      </w:r>
    </w:p>
    <w:p>
      <w:r>
        <w:t>Bei der Beschwerdeführerin handelt es sich um eine 29-jährige, ledige Frau. Über ihren familiären Hintergrund ist nur gerade bekannt, dass - mit Ausnahme ihrer Schwester - ihre gesamte Familie in Kuba lebt. Aus diesen wenigen Angaben werden keine besonderen familiären Verpflichtungen ersichtlich, die nachhaltig von einer allfälligen Emigration abhalten könnten.</w:t>
      </w:r>
    </w:p>
    <w:p>
      <w:r>
        <w:rPr>
          <w:b/>
        </w:rPr>
        <w:t>E. 4.3</w:t>
      </w:r>
    </w:p>
    <w:p>
      <w:r>
        <w:t>Aus der Mitgliedschaft der Beschwerdeführerin bei der Unión de Jóvenes Comunistas lässt sich nicht zwingend eine besondere Verbundenheit mit dem Land oder auch nur mit dem herrschenden Regime ableiten. Bei den gegebenen sozialen und politischen Verhältnissen dürfte es für kubanische Staatsbürger nicht unüblich sein, in der einen oder andern staatstragenden Vereinigung mitzuwirken.</w:t>
      </w:r>
    </w:p>
    <w:p>
      <w:r>
        <w:rPr>
          <w:b/>
        </w:rPr>
        <w:t>E. 4.4</w:t>
      </w:r>
    </w:p>
    <w:p>
      <w:r>
        <w:t>Auch die beruflichen Verhältnisse der Beschwerdeführerin lassen nicht auf Lebensumstände schliessen, die gegen eine Auswanderung sprechen: Sie ist momentan als Coiffeuse angestellt und hat - eigenen Angaben zufolge - eine Weiterbildung als Servicefachangestellte absolviert, in der Hoffnung, in Zukunft in der Gastronomie in einem der Touristenorte arbeiten zu können. Damit bestätigt sich im Falle der Beschwerdeführerin das Bild der skizzierten schwierigen Verhältnisse, in denen viele Menschen trotz ihrer Arbeit kaum ein genügendes Auskommen finden und gezwungen sind, sich auf die eine oder andere Art Zugang zu Devisen zu verschaffen. Bemerkenswert ist auch, dass die Beschwerdeführerin ein Visum für volle drei Monate beantragt. Es stellt sich die Frage, wie sich eine solch lange Abwesenheit mit den Verbindlichkeiten aus dem Arbeitsverhältnis verträgt. Zwar liegt eine Reiseerlaubnis ihrer Arbeitgeberin vor; ob diese auch eine Weiterbeschäftigungsgarantie nach ihrer Rückkehr beinhaltet, erscheint jedoch zumindest fraglich. Dessen ungeachtet zeugt die lange Dauer des beabsichtigten Besuchsaufenthaltes von einer grossen Flexibilität der Beschwerdeführerin auch in beruflicher Hinsicht.</w:t>
      </w:r>
    </w:p>
    <w:p>
      <w:r>
        <w:rPr>
          <w:b/>
        </w:rPr>
        <w:t>E. 4.5</w:t>
      </w:r>
    </w:p>
    <w:p>
      <w:r>
        <w:t>Vor dem aufgezeigten Hintergrund durfte die Vorinstanz daher zu Recht davon ausgehen, die fristgerechte Wiederausreise sei nicht gewährleistet (vgl. Art. 14 Abs. 1 i.V.m. Art. 1 Abs. 2 Bst. c VEA). Zwar lässt sich diese Einschätzung nicht zu einer gesicherten Feststellung verdichten; sie reicht aber aus, um die Erteilung einer Einreisebewilligung - auf welche wie bereits erwähnt ohnehin kein Rechtsanspruch besteht - abzulehnen. Die Beschwerdeführerin hat zwar eine schriftliche Rückreiseverpflichtung unterzeichnet. Dabei handelt es sich jedoch lediglich um eine Absichtserklärung, welche weder rechtlich verbindlich noch faktisch durchsetzbar ist. Unter diesen Voraussetzungen kann auch offenbleiben, ob die von der Beschwerdeführerin während ihres Besuchsaufenthaltes beabsichtigte Unterstützung der Schwester nach deren Niederkunft als bewilligungspflichtige Erwerbstätigkeit und damit als eine von einem Besuchervisum nicht gedeckte Beschäftigung anzusehen wäre.</w:t>
      </w:r>
    </w:p>
    <w:p>
      <w:r>
        <w:rPr>
          <w:b/>
        </w:rPr>
        <w:t>E. 5</w:t>
      </w:r>
    </w:p>
    <w:p>
      <w:r>
        <w:t>Die Beschwerdeführerin weist darauf hin, dass ihr Gastgeber den Zweck ihrer Einreise bestätigt und gestützt auf Art. 6 VEA eine Garantieerklärung abgegeben habe, wonach er für allfällig von ihr in der Schweiz verursachte und ungedeckte Kosten hafte. Die Integrität und Seriosität des Gastgebers wird vorliegend in keiner Weise in Zweifel gezogen. Indessen geht es bei der Abwägung des Risikos einer nicht fristgerechten Wiederausreise nicht so sehr um das Verhalten des Gastgebers, sondern vielmehr um dasjenige des Gastes. Nur dieser ist in der Lage, hinreichend Gewähr für eine fristgerechte und anstandslose Wiederausreise zu bieten. Der Gastgeber kann zwar für gewisse finanzielle Risiken Garantie leisten, nicht aber - mangels rechtlicher Durchsetzbarkeit - für ein bestimmtes Verhalten des Gastes.</w:t>
      </w:r>
    </w:p>
    <w:p>
      <w:r>
        <w:rPr>
          <w:b/>
        </w:rPr>
        <w:t>E. 6</w:t>
      </w:r>
    </w:p>
    <w:p>
      <w:r>
        <w:t>Die Beschwerdeführerin macht weiter geltend, eine generelle Verweigerung des unmittelbaren familiären Kontaktes in der Schweiz - mit dem Argument einer präventiven Vermeidung fremdenpolizeilicher Interventionen - sei unter dem Blickwinkel des Anspruchs auf Führung eines effektiven Familienlebens im Sinne von Art. 8 EMRK unzulässig. Art. 8 der Konvention vom 4. November 1950 zum Schutze der Menschenrechte und Grundfreiheiten (Europäische Menschenrechtskonvention, EMRK, SR 0.101) sowie Art. 13 Abs. 1 BV garantieren das Recht auf Familienleben. Keine dieser Bestimmungen verleiht jedoch einen Anspruch auf Verwirklichung dieses Familienlebens in einem bestimmten Staat. Von einem rechtfertigungsbedürftigen Grundrechtseingriff könnte - wenn überhaupt - nur dann ausgegangen werden, wenn die Wahrnehmung familiärer Kontakte in zumutbarer Weise nur durch Besuche der Schwester in der Schweiz zu verwirklichen wäre, was vorliegend zu Recht nicht behauptet wird.</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die unterliegende Beschwerdeführerin kostenpflichtig (Art. 63 Abs. 1 VwVG). Die Verfahrenskosten sind auf Fr. 600.-- festzusetzen (Art. 1, Art. 2 und Art. 3 Bst. b des Reglements vom 11. Dezember 2006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