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C-7779/2009 vom 21. Februar 2011</w:t>
      </w:r>
    </w:p>
    <w:p>
      <w:r>
        <w:t>Bundesverwaltungsgericht, 2011-02-21, IT</w:t>
      </w:r>
    </w:p>
    <w:p>
      <w:r>
        <w:rPr>
          <w:b/>
        </w:rPr>
        <w:t xml:space="preserve">Quelle: </w:t>
      </w:r>
      <w:r>
        <w:t>https://mcp.opencaselaw.ch/entscheid/bvger_C-7779_2009</w:t>
      </w:r>
    </w:p>
    <w:p>
      <w:r>
        <w:t>FR: TAF C-7779/2009 du 21 février 2011</w:t>
      </w:r>
    </w:p>
    <w:p>
      <w:r>
        <w:t>IT: TAF C-7779/2009 del 21 febbraio 2011</w:t>
      </w:r>
    </w:p>
    <w:p>
      <w:pPr>
        <w:pStyle w:val="Heading2"/>
      </w:pPr>
      <w:r>
        <w:t>Regeste</w:t>
      </w:r>
    </w:p>
    <w:p>
      <w:r>
        <w:t>Revisione della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dell'ALCP e dei Regolamenti (CEE) n° 1408/71 del Consiglio del 14 giugno 1971 e (CEE) n° 574/72 del Consiglio del 21 marzo 1972 relativo all'applicazione del Regolamento n° 1408/71.</w:t>
      </w:r>
    </w:p>
    <w:p>
      <w:r>
        <w:rPr>
          <w:b/>
        </w:rPr>
        <w:t>E. 4.1</w:t>
      </w:r>
    </w:p>
    <w:p>
      <w:r>
        <w:t>Relativamente al diritto applicabile, deve essere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130 445 consid. 1.2).</w:t>
      </w:r>
    </w:p>
    <w:p>
      <w:r>
        <w:rPr>
          <w:b/>
        </w:rPr>
        <w:t>E. 4.2</w:t>
      </w:r>
    </w:p>
    <w:p>
      <w:r>
        <w:t>Il periodo di cognizione giudiziaria dello scrivente Tribunale amministrativo federale si estende fino all'11 giugno 2009, data dell'impugnata decisione. Il giudice delle assicurazioni sociali analizza, infatti, la legalità della decisione impugnata, in generale, secondo lo stato di fatto esistente al momento in cui la decisione in lite è stata resa (DTF 130 V citata).</w:t>
      </w:r>
    </w:p>
    <w:p>
      <w:r>
        <w:rPr>
          <w:b/>
        </w:rPr>
        <w:t>E. 5</w:t>
      </w:r>
    </w:p>
    <w:p>
      <w:r>
        <w:t>Con decisione del 5 novembre 2009, in seguito a revisione d'ufficio, l'UAIE ha sostituito la mezza rendita versata all'insorgente con un quarto di rendita. Nella sua memoria ricorsuale, quest'ultimo non solo si oppone alla riduzione della rendita ma postula anche il riconoscimento del suo diritto a una rendita intera o almeno a tre quarti di rendita. La materia del contendere non è quindi limitata alla riduzione della prestazione, ma riguarda anche quale grado d'invalidità può essere riconosciuto all'interessato.</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6.3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7.1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dell'ordinanza sull'assicurazione per l'invalidità del 17 gennaio 1961 [OAI, RS 831.201]).</w:t>
      </w:r>
    </w:p>
    <w:p>
      <w:r>
        <w:rPr>
          <w:b/>
        </w:rPr>
        <w:t>E. 7.2</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w:t>
      </w:r>
    </w:p>
    <w:p>
      <w:r>
        <w:rPr>
          <w:b/>
        </w:rPr>
        <w:t>E. 7.3</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Va ancora rilevato che la semplice valutazione diversa di circostanze di fatto che sono rimaste sostanzialmente invariate non giustifica una revisione ai sensi dell'art. 17 LPGA (DTF 112 V 372 consid. 2b e 390 consid. 1b, RCC 1987 p. 36, SVR 2004 IV n. 5 consid. 3.3.3). L'istituto della revisione non deve costituire una base legale che possa giustificare un riesame senza condizioni del diritto alla rendita (cfr. anche: Rudolf Ruedi, Die Verfügungsanpassung als verfahrenrechtliche Grundfigur namentlich von Invalidenrentenrevisionen, in: Schaffhauser/Schlauri, Die Revision von Dauerleistungen in der Sozialversicherung, San Gallo, 1999, p. 15).</w:t>
      </w:r>
    </w:p>
    <w:p>
      <w:r>
        <w:rPr>
          <w:b/>
        </w:rPr>
        <w:t>E. 7.4</w:t>
      </w:r>
    </w:p>
    <w:p>
      <w:r>
        <w:t>La riduzione o la soppressione della rendita è messa in atto al più presto il primo giorno del secondo mese che segue la notifica della decisione (art. 88bis cpv. 2 lett. a OAI).</w:t>
      </w:r>
    </w:p>
    <w:p>
      <w:r>
        <w:rPr>
          <w:b/>
        </w:rPr>
        <w:t>E. 8</w:t>
      </w:r>
    </w:p>
    <w:p>
      <w:r>
        <w:t>Il punto di partenza per stabilire se il grado d'invalidità si è modificato in maniera da influire sul diritto a prestazioni è costituito dall'ultima decisione che ha esaminato materialmente il diritto alla rendita (DTF 133 V 108 consid. 5.4). Il periodo di riferimento nell'ambito della presente vertenza è pertanto quello intercorrente fra la decisione del 15 novembre 2004, con la quale l'Ufficio AI ha erogato in favore dell'assicurato una mezza rendita dell'assicurazione svizzera per l'invalidità a decorrere dal 1° febbraio 2002 e il 5 novembre 2009, data della decisione impugnata.</w:t>
      </w:r>
    </w:p>
    <w:p>
      <w:r>
        <w:rPr>
          <w:b/>
        </w:rPr>
        <w:t>E. 9</w:t>
      </w:r>
    </w:p>
    <w:p>
      <w:r>
        <w:t>La nozione d'invalidità di cui all'art. 4 LAI e 8 LPGA è di carattere giuridico economico, non medico (DTF 116 V 249 consid. 1b). In base all'art. 16 LPGA, applicabile per il rinvio dell'art. art. 28a cpv. 1,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10.1</w:t>
      </w:r>
    </w:p>
    <w:p>
      <w:r>
        <w:t>Al momento in cui venne riconosciuta la mezza rendita AI dal punto di vista medico risultava che l'assicurato soffriva di un'insufficienza mentale lieve con disturbi della memoria, lombo sciatalgia bilaterale in spondilodiscoartrosi L3-S1 (cfr. la perizia medica dettagliata, E 213, del 24 aprile 2003, doc. 32). Al momento della revisione in esame, la diagnosi non è sostanzialmente mutata, ossia, secondo l'E 213 del 10 marzo 2008, sussiste un'insufficienza mentale di grado lieve, lombo sciatalgia cronica bilaterale in spondilodiscoartrosi lombosacrale, deficit visivo corretto (doc. 62).</w:t>
      </w:r>
    </w:p>
    <w:p>
      <w:r>
        <w:rPr>
          <w:b/>
        </w:rPr>
        <w:t>E. 10.2</w:t>
      </w:r>
    </w:p>
    <w:p>
      <w:r>
        <w:t>Per quanto riguarda le conseguenze invalidanti delle menzionate affezioni, non si possono rilevare mutamenti di rilievo. Il medico dell'INPS pone infatti un tasso d'invalidità del 50%, valutazione identica a quella esposta nell'E 213 del 2003 ed annota che, rispetto alla precedente visita, le condizioni di salute sono rimaste stazionarie. Dello stesso parere è il Dott. Croisier del SMR Rhône. Egli afferma che la documentazione esibita depone per uno "statu quo" della situazione valetudinaria. La documentazione medica esibita con il ricorso, ossia il rapporto del Dott. Uccello, psichiatra, non si esprime, in modo chiaro, sulla capacità lavorativa del paziente, ma traccia piuttosto una storia clinica del caso. Da quanto precede, ne consegue che i presupposti dell'art. 17 LPGA non sono adempiuti. Le premesse per procedere ad una revisione della mezza rendita AI non sono date.</w:t>
      </w:r>
    </w:p>
    <w:p>
      <w:r>
        <w:rPr>
          <w:b/>
        </w:rPr>
        <w:t>E. 11.1</w:t>
      </w:r>
    </w:p>
    <w:p>
      <w:r>
        <w:t>Giusta l'art. 53 cpv. 2 LPGA, l'assicuratore può tornare sulle decisioni formalmente passate in giudicato se è provato che erano manifestamente errate e che la loro rettifica ha una notevole importanza. Nella fattispecie è pacifico che la decisione del 15 novembre 2004 non è stata oggetto di controllo giudiziale di merito e che la sua rettifica potrebbe rivestire un'apprezzabile importanza nella misura in cui se il riesame dovesse essere ammesso, la mezza rendita AI allora riconosciuta potrebbe essere ridotta o soppressa.</w:t>
      </w:r>
    </w:p>
    <w:p>
      <w:r>
        <w:rPr>
          <w:b/>
        </w:rPr>
        <w:t>E. 11.2</w:t>
      </w:r>
    </w:p>
    <w:p>
      <w:r>
        <w:t>Secondo la giurisprudenza, per stabilire se una decisione è manifestamente erronea è necessario basarsi sulla situazione giuridica esistente al momento in cui la decisione in questione è stata emanata tenuto conto della prassi in vigore all'epoca (DTF 119 V 479 consid. 1b/cc con i rif.). Lo scopo del riesame è di correggere un'applicazione iniziale erronea del diritto come pure una constatazione inesatta dei fatti (DTF 117 V 17 consid. 2c, 115 V 314 consid. 4a/cc). Questo dovrebbe evitare che il riesame diventi uno strumento destinato a giustificare una nuova valutazione di una prestazione durevole. In particolare, gli organi d'applicazione non dovrebbero procedere in ogni momento ad una nuova valutazione solo ad un esame più approfondito dei fatti. Un errore non dovrebbe di conseguenza essere corretto quando il riconoscimento delle prestazioni dipende da circostanze materiali, il cui esame suppone un potere di apprezzamento e che la decisione appare tutto sommato ammissibile vista la situazione di fatto e di diritto (sentenza del Tribunale federale delle assicurazioni I 375/02 del 6 maggio 2003 consid. 2.2).</w:t>
      </w:r>
    </w:p>
    <w:p>
      <w:r>
        <w:rPr>
          <w:b/>
        </w:rPr>
        <w:t>E. 12.1</w:t>
      </w:r>
    </w:p>
    <w:p>
      <w:r>
        <w:t>Basandosi sul principio secondo il quale l'invalidità è un concetto economico e non medico (cfr. consid. 9), l'amministrazione ha osservato che l'interessato non ha mai subito una perdita di guadagno di almeno il 50% e che pertanto poteva avere diritto solo a un quarto di rendita. Infatti, dal giugno 2001, l'interessato è stato assunto in una casa di cura/riposo in provincia di Como come operaio generico e lavorava per 4 ore al giorno (20 ore la settimana), mentre il tempo normale di lavoro degli altri dipendenti era di 39 ore settimanali (doc. 12). Di conseguenza, argomenta l'UAIE, la decisione iniziale apparirebbe "manifestamente errata" poiché la perdita di guadagno si situerebbe al 48.72% (20 ore / 39 ore). Questo tasso d'invalidità consente il riconoscimento del diritto al quarto di rendita AI (e non alla mezza). Può essere qui rilevato che secondo il questionario del medesimo datore di lavoro compilato in occasione dell'attuale procedura di revisione (doc. 56), le ore settimanali normali sarebbero 38 (invece di 39), mentre il dipendente ne svolge sempre 20, il che comporta una perdita di guadagno del 47.37%. Dal punto di vista strettamente pecuniario, i dati del 2004 non erano chiari (cfr. doc. 12 cifra 10), mentre quelli attuali (doc. 56) dimostrerebbero una perdita di guadagno del 47.14% (Euro 9'015.- per il dipendente interessato contro Euro 17'052.- per un dipendente della stessa categoria a tempo pieno), comunque sempre inferiore al 50%.</w:t>
      </w:r>
    </w:p>
    <w:p>
      <w:r>
        <w:rPr>
          <w:b/>
        </w:rPr>
        <w:t>E. 12.2</w:t>
      </w:r>
    </w:p>
    <w:p>
      <w:r>
        <w:t>A mente dello scrivente Tribunale, è necessario procedere a un complemento istruttorio prima di stabilire se la decisione del 15 novembre 2004 era manifestamente errata. È in particolare indispensabile verificare se i redditi da valido e da invalido siano stati correttamente determinati sulla base dei questionari per il datore di lavoro agli atti.</w:t>
      </w:r>
    </w:p>
    <w:p>
      <w:r>
        <w:rPr>
          <w:b/>
        </w:rPr>
        <w:t>E. 12.2.1</w:t>
      </w:r>
    </w:p>
    <w:p>
      <w:r>
        <w:t>Bisogna in primo luogo considerare che A._______ è iscritto in Italia, da diverso tempo, nella categoria degli invalidi civili. Il tasso d'invalidità preso in considerazione da questo istituto era del 50% nel 1990 (doc. 58) e del 90% nel 2001 (doc. 25). È verosimile, sebbene tale circostanza non sia stata mai appurata con certezza, che egli sia stato assunto dal suo attuale datore di lavoro proprio tenuto conto di questa sua invalidità. La legislazione italiana in materia (Legge 68/99 del 12 marzo 1999) ha come finalità la promozione dell'inserimento e dell'integrazione lavorativa delle persone disabili nel mondo del lavoro attraverso servizi di sostegno e di collocamento mirato, in particolare delle persone in età lavorativa affette da minorazioni fisiche, psichiche o sensoriali ed ai portatori di handicap intellettivo che comportino una riduzione della capacità lavorativa superiore al 45% accertata dalle competenti commissioni per il riconoscimento dell'invalidità civile. Il Dott. Uccello, nel suo rapporto del 27 novembre 2009, accenna del resto al fatto che il ricorrente ha seguito un programma riabilitativo in ambito protetto. Questa circostanza era già stata menzionata in una nota del 28 febbraio 2001 dell'ASL locale (doc. 21). L'Istituto per il quale lavora non è solo adibito a casa per anziani, ma anche, fra l'altro, a laboratorio protetto con mini alloggi per i soggetti curati (cfr. www.nnnnn.info visitato il 10 febbraio 2011). Risulta oltretutto che l'insorgente parli di questo istituto dove "sono ospite" e versi, tramite una deduzione dal salario, un importo mensile per l'affitto di 200 Euro (cfr. domanda di gratuito patrocinio).</w:t>
      </w:r>
    </w:p>
    <w:p>
      <w:r>
        <w:rPr>
          <w:b/>
        </w:rPr>
        <w:t>E. 12.2.2</w:t>
      </w:r>
    </w:p>
    <w:p>
      <w:r>
        <w:t>In secondo luogo, non si può escludere, senza procedere ad un ulteriore accertamento, che il compenso fornito al ricorrente presso l'Istituto dove lavora presenti una parte di salario sociale. Questo tipo di retribuzione si realizza quando il lavoratore non può fornire la contropartita in lavoro in ragione delle sue capacità limitate e ciò a paragone di un impiegato in piena salute e privo di limitazioni funzionali. Per determinare il salario sociale versato ad un invalido riclassato e riadattato è decisivo il valore pecuniario della prestazione realmente fornita. In presenza di un salario sociale, ciò che il datore di lavoro versa liberamente in base a specifica legge deve di regola essere ignorato quando si procede ad un esame comparativo dei redditi (cfr. DTF 110 V 277 consid. 4c, 104 V 90). Peraltro, dal solo fatto che nel questionario allestito dal datore di lavoro venga attestato che il salario versato corrisponde alle prestazioni del salariato, non è lecito desumere, in modo generale, che la rimunerazione non comprende un salario sociale; infatti l'esperienza dimostra che sovente i responsabili di ditte non si rendono conto dei criteri da osservare nell'ambito delle risposte da fornire a questo problema (SVR 2002 IV n. 28).</w:t>
      </w:r>
    </w:p>
    <w:p>
      <w:r>
        <w:rPr>
          <w:b/>
        </w:rPr>
        <w:t>E. 12.3</w:t>
      </w:r>
    </w:p>
    <w:p>
      <w:r>
        <w:t>In queste circostanze, non può essere escluso che l'attività svolta dall'interessato per 20 ore alla settimana, e per la quale percepisce un salario di Euro 9'015.- annuali, abbia una componente sociale. Se così fosse bisognerebbe tenerne conto per determinare il salario con e senza invalidità. In esito a queste considerazioni, il collegio giudicante non solo non è in grado di esaminare se la decisione iniziale fosse veramente errata ma, per di più, non può escludere che le richieste ricorsuali dell'interessato, volte ad ottenere un diritto ad una rendita superiore alla metà, siano fondate. Un complemento istruttorio appare quindi necessario.</w:t>
      </w:r>
    </w:p>
    <w:p>
      <w:r>
        <w:rPr>
          <w:b/>
        </w:rPr>
        <w:t>E. 13</w:t>
      </w:r>
    </w:p>
    <w:p>
      <w:r>
        <w:t>Visto quanto precede, il ricorso deve essere parzialmente accolto e l'impugnata decisione annullata ai sensi dell'art. 61 cpv. 1 PA. Gli atti devono essere rinviati all'Ufficio AI intimato perché proceda ad un supplemento d'istruttoria, atto ad accertare la natura del lavoro assegnata a a partire dal 2001. L'indagine dovrà porre in luce gli aspetti dipendenti dall'inserimento al lavoro in base alla specifica legge italiana in materia d'invalidità civile, alla retribuzione offerta, all'aspetto del lavoro di tipo "protetto", al rendimento effettivo del dipendente ed a tutti quegli elementi che permettono di stabilire se si tratta, totalmente o in parte, di un'attività assegnata in un ambito di tutela sociale, circostanza che non consentirebbe di procedere ad un semplice esame comparativo dei redditi.</w:t>
      </w:r>
    </w:p>
    <w:p>
      <w:r>
        <w:rPr>
          <w:b/>
        </w:rPr>
        <w:t>E. 14.1</w:t>
      </w:r>
    </w:p>
    <w:p>
      <w:r>
        <w:t>Visto l'esito della procedura, che vede l'insorgente vincente, non sono prelevate spese processuali (art. 63 cpv. 1 e 3 PA) e la domanda di esenzione da tali spese diventa così priva d'oggetto.</w:t>
      </w:r>
    </w:p>
    <w:p>
      <w:r>
        <w:rPr>
          <w:b/>
        </w:rPr>
        <w:t>E. 14.2</w:t>
      </w:r>
    </w:p>
    <w:p>
      <w:r>
        <w:t>Conformemente all'art. 64 PA, l'autorità di ricorso, se ammette il ricorso in tutto o in parte, può assegnate al ricorrente un'indennità per le spese indispensabili e relativamente elevate che ha sopportato. Nel caso in esame, vista la memoria ricorsuale e la documentazione esibita, si giustifica riconoscere alla parte ricorrente un'indennità a titolo di spese ripetibili di Fr. 700.-, la quale è posta a carico dell'autorità inferiore.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