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C-7764/2024 vom 3. September 2025</w:t>
      </w:r>
    </w:p>
    <w:p>
      <w:r>
        <w:t>Bundesverwaltungsgericht, 2025-09-03, DE</w:t>
      </w:r>
    </w:p>
    <w:p>
      <w:r>
        <w:rPr>
          <w:b/>
        </w:rPr>
        <w:t xml:space="preserve">Quelle: </w:t>
      </w:r>
      <w:r>
        <w:t>https://mcp.opencaselaw.ch/entscheid/bvger_C-7764_2024</w:t>
      </w:r>
    </w:p>
    <w:p>
      <w:r>
        <w:t>FR: TAF C-7764/2024 du 3 septembre 2025</w:t>
      </w:r>
    </w:p>
    <w:p>
      <w:r>
        <w:t>IT: TAF C-7764/2024 del 3 settembre 2025</w:t>
      </w:r>
    </w:p>
    <w:p>
      <w:pPr>
        <w:pStyle w:val="Heading2"/>
      </w:pPr>
      <w:r>
        <w:t>Regeste</w:t>
      </w:r>
    </w:p>
    <w:p>
      <w:r>
        <w:t>Rente</w:t>
      </w:r>
    </w:p>
    <w:p>
      <w:pPr>
        <w:pStyle w:val="Heading2"/>
      </w:pPr>
      <w:r>
        <w:t>Erwägungen</w:t>
      </w:r>
    </w:p>
    <w:p>
      <w:r>
        <w:rPr>
          <w:b/>
        </w:rPr>
        <w:t>E. 1.1</w:t>
      </w:r>
    </w:p>
    <w:p>
      <w:r>
        <w:t>Gemäss Art. 31 VGG in Verbindung mit Art. 33 Bst. d VGG und Art. 85bis Abs. 1 AHVG (SR 831.10) beurteilt das Bundesverwaltungsgericht Be- schwerden von Personen im Ausland gegen Verfügungen beziehungs- weise Einspracheentscheide (Art. 5 Abs. 2 VwVG) der Schweizerischen Ausgleichskasse. Eine Ausnahme im Sinne von Art. 32 VGG liegt nicht vor. Das Bundesverwaltungsgericht ist demnach für die Beurteilung der Be- schwerde zuständig.</w:t>
      </w:r>
    </w:p>
    <w:p>
      <w:r>
        <w:rPr>
          <w:b/>
        </w:rPr>
        <w:t>E. 1.2</w:t>
      </w:r>
    </w:p>
    <w:p>
      <w:r>
        <w:t>Nach Art. 37 VGG richtet sich das Verfahren vor dem Bundesverwal- tungsgericht nach dem VwVG, soweit das VGG nichts anderes bestimmt. Das VwVG findet indes keine Anwendung in Sozialversicherungssachen, soweit das ATSG (SR 830.1) anwendbar ist (Art. 3 Bst. dbis VwVG). Ge- 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vorliegend angefochtenen Ein- spracheentscheid berührt und hat ein schutzwürdiges Interesse an dessen Aufhebung oder Änderung, so dass er im Sinne von Art. 59 ATSG be- schwerdelegitimiert ist.</w:t>
      </w:r>
    </w:p>
    <w:p>
      <w:r>
        <w:rPr>
          <w:b/>
        </w:rPr>
        <w:t>E. 1.4</w:t>
      </w:r>
    </w:p>
    <w:p>
      <w:r>
        <w:t>Da die Beschwerde im Übrigen frist- und formgerecht (Art. 60 i.V.m. Art. 39 Abs. 2 ATSG, Art. 52 Abs. 1 VwVG) eingereicht wurde, ist darauf einzutreten.</w:t>
      </w:r>
    </w:p>
    <w:p>
      <w:r>
        <w:rPr>
          <w:b/>
        </w:rPr>
        <w:t>E. 2.1</w:t>
      </w:r>
    </w:p>
    <w:p>
      <w:r>
        <w:t>In zeitlicher Hinsicht sind – vorbehältlich besonderer übergangsrechtli- cher Regelungen – grundsätzlich diejenigen materiellen Rechtssätze massgebend, die bei der Erfüllung des zu Rechtsfolgen führenden Tatbe-</w:t>
      </w:r>
    </w:p>
    <w:p>
      <w:r>
        <w:t>C-7764/2024 Seite 5 standes Geltung haben (BGE 132 V 215 E. 3.1.1; 138 V 475 E. 3.1). Der Beschwerdeführer hat am (…) 2024 das Referenzalter für eine AHV-Alters- rente erreicht (vgl. Art. 21 AHVG, nachfolgend E. 4.1). Massgebend sind daher die Rechtsnormen, welche im (…) 2024 in Kraft standen.</w:t>
      </w:r>
    </w:p>
    <w:p>
      <w:r>
        <w:rPr>
          <w:b/>
        </w:rPr>
        <w:t>E. 2.2</w:t>
      </w:r>
    </w:p>
    <w:p>
      <w:r>
        <w:t>Der Beschwerdeführer ist deutscher Staatsangehöriger, wohnt in Deutschland und war in der schweizerischen AHV/IV versichert. Es liegt somit ein grenzüberschreitender Sachverhalt mit Bezug zur EU vor (vgl. dazu BGE 145 V 231 E. 7.1; 143 V 81 E. 8.3). Damit gelangen das Freizü- 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 dung. Seit dem 1. Januar 2015 sind auch die durch die Verordnungen (EU) Nr. 1244/2010, Nr. 465/2012 und Nr. 1224/2012 erfolgten Änderungen in den Beziehungen zwischen der Schweiz und den EU-Mitgliedstaaten an- wendbar. Soweit das FZA keine abweichenden Bestimmungen vorsieht, erfolgt mangels einer einschlägigen gemeinschafts- beziehungsweise ab- kommensrechtlichen Regelung die Prüfung des Anspruchs auf Leistungen der AHV nach schweizerischem Recht (BGE 141 V 246 E. 2.2; 130 V 51; vgl. Urteil des BVGer C-2706/2011 vom 26. Oktober 2011 E. 2.3).</w:t>
      </w:r>
    </w:p>
    <w:p>
      <w:r>
        <w:rPr>
          <w:b/>
        </w:rPr>
        <w:t>E. 3</w:t>
      </w:r>
    </w:p>
    <w:p>
      <w:r>
        <w:t>Angefochten ist der Einspracheentscheid der Vorinstanz vom 22. Novem- ber 2024, in welchem die Einsprache des Versicherten gegen die AHV- Rentenverfügung vom 24. Juni 2024 (Rentenberechnung) abgewiesen wurde.</w:t>
      </w:r>
    </w:p>
    <w:p>
      <w:r>
        <w:rPr>
          <w:b/>
        </w:rPr>
        <w:t>E. 4.1</w:t>
      </w:r>
    </w:p>
    <w:p>
      <w:r>
        <w:t>Personen, die das 65. Altersjahr vollendet haben (Referenzalter), ha- ben Anspruch auf eine Altersrente ohne Abzüge und Zuschläge, wenn ihnen für mindestens ein volles Jahr Einkommen, Erziehungs- oder Betreu- ungsgutschriften angerechnet werden können (Art. 21 Abs. 1 i.V.m. Art. 29 Abs. 1 AHVG). Der Anspruch entsteht am ersten Tag des Monats, welcher dem Erreichen des Referenzalters folgt. Er erlischt mit dem Tod (Art. 21 Abs. 2 AHVG). Für Versicherte mit unvollständiger Beitragsdauer werden die ordentlichen Renten als Teilrenten ausgerichtet (Art. 29 Abs. 2 Bst. b AHVG). Bei erwerbstätigen Personen werden nur die Einkommen berück- sichtigt, auf denen Beiträge bezahlt wurden (Art. 29quinquies Abs. 1 AHVG).</w:t>
      </w:r>
    </w:p>
    <w:p>
      <w:r>
        <w:t>C-7764/2024 Seite 6</w:t>
      </w:r>
    </w:p>
    <w:p>
      <w:r>
        <w:rPr>
          <w:b/>
        </w:rPr>
        <w:t>E. 4.2</w:t>
      </w:r>
    </w:p>
    <w:p>
      <w:r>
        <w:t>Hinsichtlich der Dauer der Beitragsleistung und der Höhe der Beiträge wird grundsätzlich auf die individuellen Konten (IK) abgestellt, welche für jeden beitragspflichtigen Versicherten geführt und in welche die entspre- chenden Daten eingetragen werden (vgl. Art. 30ter AHVG; Art. 137 ff. AHVV). 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beziehungsweise feh- lende Eintragungen in den IK (BGE 117 V 261 E. 3a).</w:t>
      </w:r>
    </w:p>
    <w:p>
      <w:r>
        <w:t>Der geforderte «volle Beweis» im Sinne des erhöhten Beweisgrades schliesst den Untersuchungsgrundsatz nicht aus. Dabei kommt jedoch der Mitwirkungspflicht des Betroffenen erhöhtes Gewicht zu, indem er von sich aus alles ihm Zumutbare zu unternehmen hat, um die Verwaltung oder den Richter in der Beschaffung des Beweismaterials zu unterstützen (vgl. BGE 117 V 261 E. 3b-d m.H., auch BVGer C-361/2023 vom 22. Juni 2023 E. 3.1). Im Fall der Beweislosigkeit fällt der Entscheid zu Ungunsten jener Partei aus, die daraus Rechte ableiten will. Als «volle Beweismittel» gelten insbesondere Lohnausweise, Lohnabrechnungen oder sachbezügliche Firmendokumente (BGE 117 V 261 E. 3d; BGer 9C_675/2013 vom 8. No- vember 2013 E. 3.1; BVGer C-3333/2024 vom 26. Mai 2025 E. 3.3.1).</w:t>
      </w:r>
    </w:p>
    <w:p>
      <w:r>
        <w:rPr>
          <w:b/>
        </w:rPr>
        <w:t>E. 5.1</w:t>
      </w:r>
    </w:p>
    <w:p>
      <w:r>
        <w:t>Die am 15. Juli 2024 der Vorinstanz eingereichten Lohnabrechnungen für Dezember 2016, Januar 2017 und Februar 2017 sind zwar an den Be- schwerdeführer adressiert, sie enthalten aber keinerlei Angaben eines Ar- beitgebers. Entsprechend können sie keinem Arbeitgeber zugeordnet wer- den, wie die Vorinstanz zu Recht darlegte. Weder der Beschwerdeführer noch eine von ihm beauftragte Rechtsvertreterin haben weitere sachdien- liche Belege für behauptete, nicht erfasste Beitragszeiten (insbesondere Lohnabrechnungen mit dem Namen des Arbeitgebers) eingereicht, trotz mehrfacher Aufforderung durch die Vorinstanz und das Bundesverwal- tungsgericht. Wie dargelegt, ist bei Eintritt des Versicherungsfalls für eine Berichtigung von Eintragungen im IK der volle Beweis zu erbringen, soweit deren Unrichtigkeit nicht offenkundig ist (hiervor E. 4.2). Die Unrichtigkeit im IK ist hier nicht offenkundig, weshalb der Eintrag nur durch den quali-</w:t>
      </w:r>
    </w:p>
    <w:p>
      <w:r>
        <w:t>C-7764/2024 Seite 7 fizierten Nachweis eines anderen Sachverhalts korrigiert werden könnte. Die eingereichten Lohnabrechnungen ohne Angabe des Arbeitgebers er- weisen sich dafür offensichtlich nicht als beweistauglich. Auch wenn Lohn- abrechnungen grundsätzlich als taugliche Beweismittel zum Beleg von nicht erfassten Beiträgen dienen können (oben E. 4.2 in fine), ist vorliegend aufgrund des fehlenden Arbeitgebers weder erstellt, dass das behauptete Erwerbseinkommen tatsächlich erzielt wurde, noch, dass die darauf ver- zeichneten AHV-Beiträge auch mit der Ausgleichskasse abgerechnet wur- den. Damit gelingt dem Beschwerdeführer der Nachweis nicht, dass die in seinem IK vermerkten Einkommen, auf denen Beiträge bezahlt wurden, gemäss Art. 29 Abs. 1quinquies AHVG unvollständig erfasst worden sind (vgl. hierzu BGer 9C_374/2015 vom 24. September 2015 E. 4 f., 9C_899/2010 vom 15. Dezember 2010 E. 3.2, 9C_96/2010 vom 26. Februar 2010 E. 3). Dem Beschwerdeführer sind somit in Übereinstimmung mit den Feststel- lungen der Vorinstanz ein Jahr und ein Monat Beitragszeit anzurechnen.</w:t>
      </w:r>
    </w:p>
    <w:p>
      <w:r>
        <w:rPr>
          <w:b/>
        </w:rPr>
        <w:t>E. 5.2</w:t>
      </w:r>
    </w:p>
    <w:p>
      <w:r>
        <w:t>Darüber hinaus ist die von der Vorinstanz ermittelte monatliche Alters- rente von Fr. 45.– (Rentenskala 1 [Teilrente] bei einer festgestellten gesam- ten Versicherungszeit von einem Jahr und einem Monat bei einer Versiche- rungszeit des Jahrgangs von 44 Jahren und einem massgebenden durch- schnittlichen Jahreseinkommen von Fr. 54'390.–; vgl. SAK-act. 13 und 16), die vom Beschwerdeführer nicht gerügt wurde, gestützt auf die dargelegte Rechtslage und die Akten nicht zu beanstanden.</w:t>
      </w:r>
    </w:p>
    <w:p>
      <w:r>
        <w:rPr>
          <w:b/>
        </w:rPr>
        <w:t>E. 6</w:t>
      </w:r>
    </w:p>
    <w:p>
      <w:r>
        <w:t>Damit ist die Beschwerde abzuweisen und der Einspracheentscheid vom 22. November 2024 zu bestätigen. Die Beschwerde erweist sich als offen- sichtlich unbegründet, weshalb sie im einzelrichterlichen Verfahren abzu- weisen ist (Art. 23 Abs. 2 VGG i.V. mit Art. 85bis Abs. 3 AHVG).</w:t>
      </w:r>
    </w:p>
    <w:p>
      <w:r>
        <w:rPr>
          <w:b/>
        </w:rPr>
        <w:t>E. 7.1</w:t>
      </w:r>
    </w:p>
    <w:p>
      <w:r>
        <w:t>Das Verfahren ist für die Parteien kostenlos (Art. 85bis Abs. 2 AHVG), weshalb keine Verfahrenskosten zu erheben sind.</w:t>
      </w:r>
    </w:p>
    <w:p>
      <w:r>
        <w:rPr>
          <w:b/>
        </w:rPr>
        <w:t>E. 7.2</w:t>
      </w:r>
    </w:p>
    <w:p>
      <w:r>
        <w:t>Der unterliegende Beschwerdeführer hat keinen Anspruch auf eine Parteientschädigung (vgl. Art. 64 Abs. 1 VwVG, Art. 7 Abs. 1 des Regle- ments vom 21. Februar 2008 über die Kosten und Entschädigungen vor dem Bundesverwaltungsgericht [VGKE, SR 173.320.2], je e contrario). Die Vorinstanz hat ebenfalls keinen Anspruch auf eine Parteientschädigung (vgl. Art. 7 Abs. 3 VGKE).</w:t>
      </w:r>
    </w:p>
    <w:p>
      <w:r>
        <w:t>C-7764/2024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