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C-7762/2010 vom 16. März 2011</w:t>
      </w:r>
    </w:p>
    <w:p>
      <w:r>
        <w:t>Bundesverwaltungsgericht, 2011-03-16, FR</w:t>
      </w:r>
    </w:p>
    <w:p>
      <w:r>
        <w:rPr>
          <w:b/>
        </w:rPr>
        <w:t xml:space="preserve">Quelle: </w:t>
      </w:r>
      <w:r>
        <w:t>https://mcp.opencaselaw.ch/entscheid/bvger_C-7762_2010</w:t>
      </w:r>
    </w:p>
    <w:p>
      <w:r>
        <w:t>FR: TAF C-7762/2010 du 16 mars 2011</w:t>
      </w:r>
    </w:p>
    <w:p>
      <w:r>
        <w:t>IT: TAF C-7762/2010 del 16 marzo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ATF 135 II 1 consid. 1.1).</w:t>
      </w:r>
    </w:p>
    <w:p>
      <w:r>
        <w:rPr>
          <w:b/>
        </w:rPr>
        <w:t>E. 4</w:t>
      </w:r>
    </w:p>
    <w:p>
      <w:r>
        <w:t>Les dispositions sur la procédure en matière de visa ainsi que sur l'entrée en Suisse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En vertu de l'art. 1 sect. 1 pt. b du Règlement (CE) no 1244/2009 du Conseil du 30 novembre 2009 (JO L 336 du 18 décembre 2009), B._______, du fait de sa nationalité, est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7.1</w:t>
      </w:r>
    </w:p>
    <w:p>
      <w:r>
        <w:t>En l'espèce, l'ODM a estimé que la sortie de Suisse de B._______ au terme du séjour sollicité n'était pas suffisamment assurée.Le Tribunal ne saurait d'emblée écarter les craintes émises par l'autorité intimée, notamment au vu de la situation qui prévaut au Kosovo, sur le plan social et économique. Toutefois, dans le cas d'espèce, il convient de prendre en considération les attaches personnelles dont l'intéressé peut se prévaloir au Kosovo, en particulier sur le plan familial et en relation avec sa formation. S'agissant de ses attaches familiales, B._______ vit au Kosovo avec sa mère. Excepté son frère et sa belle-soeur qui résident en Suisse, les autres membres de sa famille vivent dans son pays d'origine. Quant aux liens qui résultent de ses activités actuelles, il apparaît que l'intéressé est étudiant régulier en économie au Collège universitaire "Fama" à Pristina et qu'orphelin de père, il reçoit chaque mois des rentes de la SUVA et de la Caisse suisse de compensation pour un montant total d'un peu plus de Fr. 1'000.-. L'octroi de ces rentes aux orphelins majeurs, âgés de 18 à 25 ans, est lié à l'accomplissement des études (cf. courrier de la Caisse suisse de compensation du 1er janvier 2010, dossier ODM). Il apparaît dès lors que B._______, âgé de vingt-deux ans et demi, a intérêt à retourner au Kosovo à l'issue de son séjour de visite pour y poursuivre sa formation, aisément financée par les rentes dont il bénéficie. Comme le relève à juste titre le recourant, sa situation est favorable tant qu'il poursuit ses études au Kosovo et il n'apparaît pas qu'elle puisse être meilleure en l'état s'il devait prolonger son séjour en Suisse au-delà de la durée du visa accordé. Dans ces circonstances, compte tenu des projets à moyen terme de l'intéressé, le risque qu'il cherche à s'établir définitivement en Suisse à l'issue du séjour de visite d'un mois projeté est minime. Prenant acte du contenu des courriers des 21 juin 2010, 9 août 2010, du mémoire de recours et des déterminations du 19 février 2011, dans lesquels B._______ et le recourant ont assuré les autorités helvétiques que le premier nommé quitterait la Suisse à l'échéance de son visa, le Tribunal ne décèle aucun indice permettant de mettre en doute la bonne foi de l'intéressé et la volonté de son hôte de respecter le motif et la durée du visa sollicité. Tout bien considéré, le Tribunal estime dès lors qu'il serait inopportun dans les circonstances actuelles de refuser à B._______ l'autorisation d'entrer en Suisse, l'intérêt privé de ce dernier à pouvoir venir en ce pays pour rendre visite à son frère et sa belle-soeur durant un mois prévalant sur l'intérêt public contraire à refuser le visa sollicité, au vu des garanties apportées quant à une sortie de Suisse dans le délai fixé. Il convient de préciser que l'issue de la présente procédure est fonction de la situation actuelle de l'intéressé et ne préjuge aucunement de l'octroi d'un visa lors d'une éventuelle future demande, cette dernière devant être examinée sur la base de la situation de B._______ à ce moment-là, en particulier eu égard à l'avancement de ses études. En conséquence, le recours est admis, l'autorité intimée est invitée à autoriser l'entrée en Suisse de B._______ pour lui permettre d'effectuer une visite d'un mois. Obtenant gain de cause, le recourant n'a pas à supporter de frais de procédure (art. 63 al. 1 a contrario et al. 3 PA). En l'espèce, il ne se justifie pas d'allouer des dépens, dès lors que le recourant a agi sans l'aide d'un mandataire professionnel dans la présente cause (cf. ATF 113 Ib 357 consid. 6b, 107 Ib 283) et que l'on ne saurait considérer comme élevés les frais éventuels qu'il a eu à supporter (cf. art. 64 al. 1 PA en relation avec l'art. 7 al.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