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C-7758/2007 vom 28. April 2009</w:t>
      </w:r>
    </w:p>
    <w:p>
      <w:r>
        <w:t>Bundesverwaltungsgericht, 2009-04-28, DE</w:t>
      </w:r>
    </w:p>
    <w:p>
      <w:r>
        <w:rPr>
          <w:b/>
        </w:rPr>
        <w:t xml:space="preserve">Quelle: </w:t>
      </w:r>
      <w:r>
        <w:t>https://mcp.opencaselaw.ch/entscheid/bvger_C-7758_2007</w:t>
      </w:r>
    </w:p>
    <w:p>
      <w:r>
        <w:t>FR: TAF C-7758/2007 du 28 avril 2009</w:t>
      </w:r>
    </w:p>
    <w:p>
      <w:r>
        <w:t>IT: TAF C-7758/2007 del 28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Visumsverfahren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Staatsangehöriger von Nigeria unterliegt der Gesuchsteller damit der Visumspflicht.</w:t>
      </w:r>
    </w:p>
    <w:p>
      <w:r>
        <w:rPr>
          <w:b/>
        </w:rPr>
        <w:t>E. 7</w:t>
      </w:r>
    </w:p>
    <w:p>
      <w:r>
        <w:t>Die wirtschaftliche Lage Nigerias hat sich in den letzten Jahren deutlich verbessert. Relativiert wird dieser Erfolg aber durch die seit Anfang 2006 im ölreichen Niger-Delta entfachten und mit erheblicher Gewalt und Kriminalität einhergehenden Unruhen, welche zu eingeschränkten Öl- und Gasförderquoten geführt haben und dadurch auch das weitgehend vom Rohölexport abhängige Wirtschaftswachstum bremsen. Die Unruhen sind ebenfalls mit der Grund für eine Verschlechterung der ohnehin unzureichenden inländischen Energieversorgung. Als Haupthinderungsgrund für die wirtschaftliche Entwicklung gilt allerdings die mangelhafte Infrastruktur des Landes, die breiten Bevölkerungsschichten schwierige ökonomische und soziale Lebensbedingungen beschert und schätzungsweise etwa 35% der Bevölkerung in extremer Armut (weniger als 1 USD/Tag) leben lässt. Präsident Yar' Adua, seit Mai 2007 amtierendes Staatsoberhaupt und gleichzeitiger Regierungschef, ist zwar darum bemüht, die Reformpolitik seines Vorgängers Obasanjo fortzusetzen und auf die genannten Herausforderungen einzugehen; die Implementierung von konkreten Massnahmen hat allerdings erst gerade begonnen (Quelle: http://www.auswaertiges-amt.de, Stand Februar 2009, besucht im April 2009). Angesichts des mit solchen Massnahmen verbundenen Kostenaufwands kann die nigerianische Bevölkerung mittelfristig nicht mit günstigeren Lebensbedingungen rechnen, wohl auch deshalb nicht, weil die weltweite Finanz- und Wirtschaftskrise bis auf Weiteres erhebliche Auswirkungen auf die von den Öleinnahmen abhängigen Staatsausgaben haben dürfte. Vor diesem Hintergrund besteht ein vielfacher Wunsch zur Auswanderung, der sich vor allem bei denjenigen manifestiert, die bereits über ein minimales soziales Beziehungsnetz im Ausland verfügen. Im Falle der Schweiz führt dies angesichts der restriktiven fremdenpolizeilichen Zulassungsregelung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migrationsrechtliche Grundlage zu stellen.</w:t>
      </w:r>
    </w:p>
    <w:p>
      <w:r>
        <w:rPr>
          <w:b/>
        </w:rPr>
        <w:t>E. 8</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 durchaus die Prognose für eine anstandslose Wiederausreise begünstigen.</w:t>
      </w:r>
    </w:p>
    <w:p>
      <w:r>
        <w:rPr>
          <w:b/>
        </w:rPr>
        <w:t>E. 9</w:t>
      </w:r>
    </w:p>
    <w:p>
      <w:r>
        <w:t>Eigenen Angaben zufolge befindet sich der 29-jährige ledige Gesuchsteller im Studium. In ihrer Beschwerde hat Y._______ dargelegt, sie habe X._______ während eines Aufenthaltes in Nigeria im Jahre 2005 kennen gelernt und ihn nun in die Schweiz eingeladen, um sich für die Gastfreundschaft, die sie dort von ihm und seiner Familie erfahren habe, zu revanchieren. Andere Gründe für den beabsichtigten (immerhin) zweimonatigen Besuchsaufenthalt werden in der Beschwerde nicht genannt. Die von der Beschwerdeführerin ausgefüllte und unterzeichnete Unterhaltsgarantie erwähnt allerdings eine "freundschaftliche Beziehung", und dem schriftlichen Visumsgesuch lässt sich entnehmen, dass der Gesuchsteller während des von seiner Gastgeberin finanzierten Besuchs auch Bekanntschaft mit ihren Familienangehörigen schliessen möchte. Diese Anhaltspunkte deuten darauf hin, dass sich der Gesuchsteller auf der Suche nach besseren Lebensbedingungen mittels Heirat um ein Aufenthaltsrecht in der Schweiz bemühen könnte. Die Beschwerdeführerin hat zwar betont, dass ihr Gast nach Abschluss seiner Ausbildung in seinem Heimatland ein eigenes Geschäft gründen wolle und dass zudem seine Eltern und Geschwister in Nigeria lebten. Angesichts der dortigen wirtschaftlichen Perspektiven und des Umstands, dass die Familie des Gesuchstellers offensichtlich in nur bescheidenen Verhältnissen lebt, ist dieser Einwand jedoch nicht stichhaltig. Insbesondere ist festzuhalten, dass in vielen ärmeren Ländern der Wunsch nach Auswanderung auch deshalb besteht, um die in der Heimat zurückbleibenden Familienmitglieder finanziell unterstützen zu können. Auch im vorliegenden Fall kann davon ausgegangen werden, dass weder die beruflichen Perspektiven noch die im Heimatland zurückbleibenden Verwandten Gründe wären, welche den Gesuchsteller ernsthaft von einer Emigration abhalten könnten. Die gegenteiligen Zusicherungen der Beschwerdeführerin vermögen an dieser Einschätzung nichts zu ändern. Gastgeber können zwar für gewisse finanzielle Risiken Garantie leisten, mangels rechtlicher und faktischer Durchsetzbarkeit nicht aber für ein bestimmtes Verhalten des Gastes (vgl. anstelle vieler: Urteile des Bundesverwaltungsgerichts C-204/2008 vom 5. März 2009 E. 8.4 und C-3243/2007 vom 10. Juni 2008 E. 5.5). Im Übrigen erscheint die Rückkehrbereitschaft von X._______ auch deshalb äusserst fraglich, weil er in seinem Visumsantrag Tripolis (Libyen) als Zielort seiner Reise genannt hat. Ob er von der Schweiz aus dorthin weiterreisen dürfte, ist nicht bekannt. Auch die Beschwerdeführerin hat sich zur angeblichen Reiseroute ihres Gastes nicht geäussert.</w:t>
      </w:r>
    </w:p>
    <w:p>
      <w:r>
        <w:rPr>
          <w:b/>
        </w:rPr>
        <w:t>E. 10</w:t>
      </w:r>
    </w:p>
    <w:p>
      <w:r>
        <w:t>Die Vorinstanz durfte unter den gegebenen Umständen zu Recht davon ausgehen, die fristgerechte Wiederausreise des Gesuchstellers sei nicht gewährleistet. Zwar lässt sich diese Einschätzung nicht zu einer gesicherten Feststellung verdichten; sie reicht aber aus, um die Erteilung einer Einreisebewilligung - auf welche wie bereits erwähnt ohnehin kein Rechtsanspruch besteht - abzulehnen.</w:t>
      </w:r>
    </w:p>
    <w:p>
      <w:r>
        <w:rPr>
          <w:b/>
        </w:rPr>
        <w:t>E. 11</w:t>
      </w:r>
    </w:p>
    <w:p>
      <w:r>
        <w:t>Aus diesen Darlegungen folgt, dass die angefochtene Verfügung rechtmässig ist (Art. 49 VwVG). Die Beschwerde ist demzufolge abzuweisen.</w:t>
      </w:r>
    </w:p>
    <w:p>
      <w:r>
        <w:rPr>
          <w:b/>
        </w:rPr>
        <w:t>E. 12</w:t>
      </w:r>
    </w:p>
    <w:p>
      <w:r>
        <w:t>Bei diesem Ausgang des Verfahrens sind die Kosten dem Beschwerdeführer aufzuerlegen (vgl. Art. 63 Abs. 1 VwVG i.V.m. Art. 1 und Art. 3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