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C-7756/2008 vom 18. Juni 2010</w:t>
      </w:r>
    </w:p>
    <w:p>
      <w:r>
        <w:t>Bundesverwaltungsgericht, 2010-06-18, IT</w:t>
      </w:r>
    </w:p>
    <w:p>
      <w:r>
        <w:rPr>
          <w:b/>
        </w:rPr>
        <w:t xml:space="preserve">Quelle: </w:t>
      </w:r>
      <w:r>
        <w:t>https://mcp.opencaselaw.ch/entscheid/bvger_C-7756_2008</w:t>
      </w:r>
    </w:p>
    <w:p>
      <w:r>
        <w:t>FR: TAF C-7756/2008 du 18 juin 2010</w:t>
      </w:r>
    </w:p>
    <w:p>
      <w:r>
        <w:t>IT: TAF C-7756/2008 del 18 giugno 2010</w:t>
      </w:r>
    </w:p>
    <w:p>
      <w:pPr>
        <w:pStyle w:val="Heading2"/>
      </w:pPr>
      <w:r>
        <w:t>Regeste</w:t>
      </w:r>
    </w:p>
    <w:p>
      <w:r>
        <w:t>Valutazione dell'invalidità</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decorrere dal 1° gennaio 2008, in conformità con le nuove disposizioni.</w:t>
      </w:r>
    </w:p>
    <w:p>
      <w:r>
        <w:rPr>
          <w:b/>
        </w:rPr>
        <w:t>E. 4</w:t>
      </w:r>
    </w:p>
    <w:p>
      <w:r>
        <w:t>Il ricorrente ha contestato la validità materiale della decisione dell'UAIE, chiedendo che gli sia riconosciuto il diritto a tre quarti di rendita o ad una rendita intera.</w:t>
      </w:r>
    </w:p>
    <w:p>
      <w:r>
        <w:rPr>
          <w:b/>
        </w:rPr>
        <w:t>E. 5</w:t>
      </w:r>
    </w:p>
    <w:p>
      <w:r>
        <w:t>In deroga all'art. 24 cpv. 1 LPGA, che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12 marzo 2004. Questo Tribunale può quindi limitarsi ad esaminare se il ricorrente avesse diritto ad una rendita il 12 marzo 2003 (ossia dodici mesi precedenti la presentazione della domanda), oppure se un diritto alla rendita fosse sorto tra tale data e il 21 ottobre 2008,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in particolare, dalla perizia E 213 del dott. B._______, medico dell'INPS, del 4 gennaio 2006 (doc. 44), dai referti d'esami pneumologici del mese di luglio 2006, del 12 ottobre 2006, del 12 gennaio e 10 marzo 2007 (doc. 64, 68 e 74), e dalle diverse prese di posizione della dott.ssa C._______, medico dell'UAIE, tra cui, in special modo, quella del 19 febbraio 2008 (doc. 49, 62, 72, 78 e 92), risulta la diagnosi di sindrome cervico-brachiale e vertebro-lombare, di BPCO, d'OSAS, di esiti da frattura della clavicola destra, d'obesità, d'ipercolesterolemia, di tabagismo, d'esofagite da reflusso e di esiti da ulcera duodenale e da emorroidi. Visto il carattere univoco di questa diagnosi, del resto non contestata dal ricorrente, il collegio giudicante non vede nessun valido motivo per scostarsene. A questo proposito, pur ammettendone l'esistenza, il collegio giudicante considera che la sindrome iniziale del canale carpale a destra (doc. 46) e la diminuzione del visus (doc. 89), menzionate sporadicamente agli atti, sono ininfluenti sulla capacità lavorativa.</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abbia subito, senza interruzione notevole, un'incapacità lavorativa di almeno il 40% durante almeno un anno.</w:t>
      </w:r>
    </w:p>
    <w:p>
      <w:r>
        <w:rPr>
          <w:b/>
        </w:rPr>
        <w:t>E. 10.1</w:t>
      </w:r>
    </w:p>
    <w:p>
      <w:r>
        <w:t>Rispetto alle conseguenze invalidanti delle affezioni diagnosti-cate sulla capacità lavorativa, il dott. B._______ ha considerato, nella sua perizia E 213 del 4 gennaio 2006, che il ricorrente è in grado di continuare a svolgere a tempo pieno il suo ultimo lavoro e che può esercitare attività leggere confacenti, stabilendo cionondimeno un grado d'invalidità del 60%. Ora, indipendentemente dal suo carattere contraddittorio, questa valutazione non tiene conto dei diversi elementi diagnostici rivelatisi in seguito, prima fra tutti l'OSAS, per cui la sua pertinenza in questa sede deve essere relativizzata. Dal canto suo, la dott.ssa C._______ ha osservato, nella sua ultima presa di posizione del 19 febbraio 2008 (doc. 92), in cui ha tenuto conto di tutte le componenti diagnostiche enumerate al consid. 9.1, che l'incapacità lavorativa del ricorrente è pari al 70% per le attività di muratore e pescatore e pari al 50% in un'attività sostitutiva leggera, "sans effort physique, assise et sans usage répétitif ni surélevé du bras droit", come sorvegliante di parcheggi o magazziniere, e ciò dal 19 gennaio 2005 (data d'esecuzione della RM di cui al doc. 28). Il medico dell'UAIE ha giustificato questi valori specificando che l'OSAS di grado severo, nell'ambito dell'obesità, della BPCO medio-grave e dei disturbi al rachide, ha un influsso importante sulla capacità lavorativa, limitando il tempo di lavoro e gli sforzi esigibili da parte del ricorrente.</w:t>
      </w:r>
    </w:p>
    <w:p>
      <w:r>
        <w:rPr>
          <w:b/>
        </w:rPr>
        <w:t>E. 10.2</w:t>
      </w:r>
    </w:p>
    <w:p>
      <w:r>
        <w:t>Visto quanto precede, il collegio giudicante non può che aderire all'apprezzamento della dott.ssa C._______ e riconoscere che l'incapacità lavorativa del ricorrente ammonta al 70% nelle attività di muratore e pescatore ed al 50% in attività leggere confacenti, e ciò a decorrere dal 19 gennaio 2005. È quindi a giusto titolo che l'UAIE ha fissato l'inizio del diritto alla rendita al 1° gennaio 2006, ossia dopo un anno d'incapacità lavorativa superiore al 40% (art. 29 cpv. 1 lett. b LAI).</w:t>
      </w:r>
    </w:p>
    <w:p>
      <w:r>
        <w:rPr>
          <w:b/>
        </w:rPr>
        <w:t>E. 11.1</w:t>
      </w:r>
    </w:p>
    <w:p>
      <w:r>
        <w:t>Come già esposto al consid. 7.5.,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proceduto al calcolo del grado d'invalidità, l'11 marzo 2008 (doc. 93), conformemente al metodo del confronto dei redditi, sulla base delle statistiche dell'ILO relative al 2005, in assenza di dati affidabili all'incarto, considerando un salario da valido, come operaio agricolo, di EUR 1'239.- al mese, e un salario da invalido, nell'attività di manovale nel settore dell'edizione, di EUR 1'186.66, ridotto del 15% viste le circostanze personali del ricorrente, ossia EUR 1'008.86, e nella misura del 50%, cioè EUR 504.33. Comparando il salario da valido con quello da invalido, secondo la formula [(1'239 - 504.33) : 1239 x 100], l'UAIE ha ottenuto una perdita di guadagno del 59.30%, equivalente a un grado d'invalidità del 59%, il quale dà diritto ad una mezza rendita d'invalidità.</w:t>
      </w:r>
    </w:p>
    <w:p>
      <w:r>
        <w:rPr>
          <w:b/>
        </w:rPr>
        <w:t>E. 11.2</w:t>
      </w:r>
    </w:p>
    <w:p>
      <w:r>
        <w:t>Al fine di eseguire il suo calcolo, l'UAIE ha optato per un salario da valido di EUR 1'239.- come operaio agricolo, e ciò nonostante il fatto che l'ultimo lavoro esercitato in Italia dal ricorrente sia stato quello di pescatore, con un salario mensile di soli EUR 518.-. Ora, benché questa attività non rientri esplicitamente in nessuna delle categorie professionali dell'ILO (http://laborsta.ilo.org), la scelta dell'UAIE deve essere confermata, nella misura in cui essa è ragionevole, favorevole al ricorrente e, per di più, da quest'ultimo non contestata.</w:t>
      </w:r>
    </w:p>
    <w:p>
      <w:r>
        <w:rPr>
          <w:b/>
        </w:rPr>
        <w:t>E. 11.3</w:t>
      </w:r>
    </w:p>
    <w:p>
      <w:r>
        <w:t>Per quanto riguarda il salario da invalido, l'UAIE ha tenuto conto unicamente dell'attività di manovale nel settore dell'edizione, tralasciando le altre attività selezionate per il calcolo del grado d'invalidità, nella misura in cui i corrispondenti salari sono superiori al salario da valido (EUR 1'276.89 per un cassiere nel commercio al dettaglio e EUR 1'396.77 per un impiegato allo stoccaggio nel commercio all'ingrosso). Ora, secondo la descrizione fornitane dall'ILO, l'attività di manovale nel settore dell'edizione implica principalmente degli sforzi fisici ("[...] tasks requiring [...] mainly physical effort"), per cui contraddice l'esigibilità formulata dalla dott.ssa C._______, secondo la quale l'esercizio di un'attività leggera di sostituzione deve avvenire, in particolare, "sans effort physique" (doc. 92); questa constatazione vale anche per quanto concerne l'attività d'impiegato allo stoccaggio. Ne consegue che, così come calcolato dall'UAIE, con una riduzione limitata al 15%, il salario da invalido non può essere approvato in questa sede. Ciò detto, appare chiaro a questo punto che le tre attività sostitutive indicate dalla dott.ssa C._______ o non rientrano in nessuna delle categorie dell'ILO, come quella di sorvegliante di parcheggi o di musei, o corrispondono a delle attività che implicano prevalentemente degli sforzi fisici, come quella d'impiegato allo stoccaggio nel commercio all'ingrosso, oppure la loro rimunerazione è di molto superiore a quella di un operaio agricolo, come è il caso per dei venditori di biglietti alla cassa (EUR 1'679.59).</w:t>
      </w:r>
    </w:p>
    <w:p>
      <w:r>
        <w:rPr>
          <w:b/>
        </w:rPr>
        <w:t>E. 11.4</w:t>
      </w:r>
    </w:p>
    <w:p>
      <w:r>
        <w:t>Il reddito teorico da invalido può essere ridotto per tenere conto dei fattori personali dell'assicurato (DTF 126 V 75 consid. 5 e 6). Ora, vero è che, di principio, secondo la giurisprudenza menzionata, il giudice non può, senza valido motivo, scostarsi dalla valutazione operata dall'amministrazione, la quale gode di un ampio potere d'apprezzamento. In concreto, tuttavia, il collegio giudicante è dell'avviso che il salario da invalido deve essere ridotto di almeno il 20% a causa della particolarità del danno alla salute subito dal ricorrente, che gli permette di svolgere unicamente un'attività "sans effort physique, assise et sans usage répétitif ni surélevé du bras droit", e considerato che le limitazioni funzionali, incontestabilmente presenti, sono di natura particolarmente incisiva e non permettono di sfruttare al meglio la residua capacità di lavoro, tenuto conto inoltre sia dell'età del ricorrente che delle difficoltà di reinserimento. Una tale riduzione, nella fattispecie, non può quindi essere considerata come una violazione del diritto federale, rispettivamente come un eccesso o un abuso del potere di apprezzamento. Ciò significa che il grado d'invalidità si situa approssimativamente tra il 62 e il 64%, a seconda che si riconosca una riduzione del salario da invalido del 20% [(1'239 - 474.66) : 1'239 = 61.69%] oppure del 25% [(1'239 - 444.99) : 1'239 = 64%], corrispondente al massimo previsto dalla giurisprudenza. Ne discende che il ricorrente ha diritto a tre quarti di rendita.</w:t>
      </w:r>
    </w:p>
    <w:p>
      <w:r>
        <w:rPr>
          <w:b/>
        </w:rPr>
        <w:t>E. 12</w:t>
      </w:r>
    </w:p>
    <w:p>
      <w:r>
        <w:t>Di conseguenza, il ricorso deve essere accolto e la decisione dell'UAIE del 21 ottobre 2008 riformata, nel senso che al ricorrente è riconosciuto il diritto a tre quarti di rendita d'invalidità dal 1° gennaio 2006.</w:t>
      </w:r>
    </w:p>
    <w:p>
      <w:r>
        <w:rPr>
          <w:b/>
        </w:rPr>
        <w:t>E. 13</w:t>
      </w:r>
    </w:p>
    <w:p>
      <w:r>
        <w:t>Secondo l'art. 63 cpv. 1 PA, le spese processuali sono di regola messe a carico della parte soccombente. In concreto, visto l'esito della procedura, non sono prelevate spese processuali. Di conseguenza, la domanda di gratuito patrocinio è dichiarata priva d'oggetto.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è giustificato assegnarli un'indennità per spese ripetibili di Fr. 1'000.-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