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C-773/2016 vom 20. April 2018</w:t>
      </w:r>
    </w:p>
    <w:p>
      <w:r>
        <w:t>Bundesverwaltungsgericht, 2018-04-20, DE</w:t>
      </w:r>
    </w:p>
    <w:p>
      <w:r>
        <w:rPr>
          <w:b/>
        </w:rPr>
        <w:t xml:space="preserve">Quelle: </w:t>
      </w:r>
      <w:r>
        <w:t>https://mcp.opencaselaw.ch/entscheid/bvger_C-773_2016</w:t>
      </w:r>
    </w:p>
    <w:p>
      <w:r>
        <w:t>FR: TAF C-773/2016 du 20 avril 2018</w:t>
      </w:r>
    </w:p>
    <w:p>
      <w:r>
        <w:t>IT: TAF C-773/2016 del 20 aprile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18. Dezember 2015, mit der die Vorinstanz den bisherigen Anspruch auf eine halbe Rente verneint hat. Aufgrund der Rechtsbegehren streitig und zu prüfen ist der im Rahmen des Revisionsgesuchs geltend gemachte Anspruch des Beschwerdeführers auf eine halbe Rente der schweizerischen Invalidenversicherung ab dem 1. Februar 2016.</w:t>
      </w:r>
    </w:p>
    <w:p>
      <w:r>
        <w:rPr>
          <w:b/>
        </w:rPr>
        <w:t>E. 3.1</w:t>
      </w:r>
    </w:p>
    <w:p>
      <w:r>
        <w:t>Das Abkommen zwischen der Schweizerischen Eidgenossenschaft und der (ehemaligen) Föderativen Volksrepublik Jugoslawien über Sozial-versicherung vom 8. Juni 1962 (SR 0.831.109.818.1; nachfolgend: Sozialversicherungsabkommen) ist seit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Bundesgerichts 9C_793/2013 vom 27. März 2014 E. 3.2).</w:t>
      </w:r>
    </w:p>
    <w:p>
      <w:r>
        <w:rPr>
          <w:b/>
        </w:rPr>
        <w:t>E. 3.3</w:t>
      </w:r>
    </w:p>
    <w:p>
      <w:r>
        <w:t>Vorliegend wurde dem Beschwerdeführer die strittige IV-Rente am 5. Mai 2008 zugesprochen, laut Verfügung entstand der IV-Anspruch am 1. Dezember 2005 (Vorakten 45). Da der IV-Rentenanspruch vor Ende März 2010 entstanden ist, gelangt vorliegend das besagte Sozialversicherungsabkommen (Art. 25) weiterhin zur Anwendung.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Invalidenrente des Beschwerdeführers zu Recht aufgehoben hat, allein aufgrund der schweizerischen Rechtsvorschriften (vgl. Art. 1, 2 und 4 des Sozialversicherungsabkommens).</w:t>
      </w:r>
    </w:p>
    <w:p>
      <w:r>
        <w:rPr>
          <w:b/>
        </w:rPr>
        <w:t>E. 3.4</w:t>
      </w:r>
    </w:p>
    <w:p>
      <w:r>
        <w:t>Das Sozialversicherungsgericht stellt bei der Beurteilung einer Streitsache in der Regel auf den bis zum Zeitpunkt des Erlasses der streitigen Verwaltungsverfügung (hier: 18. Dezember 2015) eingetretenen Sachverhalt ab (BGE 132 V 215 E. 3.1.1). Tatsachen, die jenen Sachverhalt seither verändert haben, sollen im Normalfall Gegenstand einer neuen Verwaltungsverfügung sein (BGE 121 V 362 E. 1b).</w:t>
      </w:r>
    </w:p>
    <w:p>
      <w:r>
        <w:rPr>
          <w:b/>
        </w:rPr>
        <w:t>E. 3.5</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18. Dezember 2015 in Kraft standen. Da mit der angefochtenen Verfügung der Rentenanspruch des Beschwerdeführers für die Zukunft aufgehoben wurde, sind bei deren Erlass bereits ausser Kraft getretene Vorschriften nicht von Belang.</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ist vorliegend nicht gegeben. Bei dem für die Ausrichtung der Viertelsrente vorausgesetzten Wohnsitz und gewöhnlichen Aufenthalt in der Schweiz handelt es sich nicht um eine blosse Auszahlungsvorschrift, sondern um eine Anspruchsvoraussetzung (BGE 121 V 270 E. 5b).</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5.3</w:t>
      </w:r>
    </w:p>
    <w:p>
      <w:r>
        <w:t>Soll über einen Rentenanspruch - ohne Einholung eines externen Gutachtens -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In Anwendung der dargelegten Grundsätze ist nachfolgend zu prüfen, ob die Vorinstanz zu Recht davon ausgegangen ist, dass sich der Gesundheitszustand des Beschwerdeführers bzw. dessen Arbeitsfähigkeit - andere Revisionsgründe stehen nicht in Frage - seit der rentenzusprechenden Verfügung vom 5. Mai 2008 bis zum Erlass der angefochtenen Revisionsverfügung vom 18. Dezember 2015 in rechtserheblicher Weise verbessert hat. Die seit der erstmaligen Rentenzusprechung durchgeführte Rentenrevision beruhte nicht auf einer hinreichenden Sachverhaltsabklärung, weshalb sie nicht den Referenzzeitpunkt bilden kann (vgl. Sachverhalt Bst. A.c).</w:t>
      </w:r>
    </w:p>
    <w:p>
      <w:r>
        <w:rPr>
          <w:b/>
        </w:rPr>
        <w:t>E. 6.2</w:t>
      </w:r>
    </w:p>
    <w:p>
      <w:r>
        <w:t>Die ursprüngliche Zusprache der halben Rente mit Verfügung vom 5. Mai 2008 erfolgte insbesondere gestützt auf das Gutachten von Dr. E._______ und den Bericht von Dr. D._______, in dem als Diagnosen eine rezidivierende depressive Störung, gegenwärtig leichte Episode, eine posttraumatische Belastungsstörung und Lumbalgien mit Bein- und Rückenschmerzen genannt wurden. Die damals festgelegte Restarbeitsfähigkeit von 50 % (für sämtliche Tätigkeiten) wurde vom medizinischen Dienst, Dr. G._______, Facharzt für Psychiatrie und Psychotherapie, aus psychiatrischen Gründen anerkannt (Vorakten 37).</w:t>
      </w:r>
    </w:p>
    <w:p>
      <w:r>
        <w:rPr>
          <w:b/>
        </w:rPr>
        <w:t>E. 6.3</w:t>
      </w:r>
    </w:p>
    <w:p>
      <w:r>
        <w:t>In der angefochtenen Verfügung hat die Vorinstanz auf Grundlage einer Aktenbeurteilung geschlossen, dass sich der Gesundheitszustand des Beschwerdeführers seit der Rentenzusprache wesentlich verbessert habe, und die halbe Rente gestützt auf Art. 17 Abs. 1 ATSG mit Verfügung vom 18. Dezember 2015 ab 1. Februar 2016 aufgehoben. Begründend führte sie an, dass sie die eingereichten medizinischen Unterlagen ihrem medizinischen Dienst vorgelegt habe. Dieser habe bestätigt, dass sich der Gesundheitszustand des Beschwerdeführers seit dem 28. Februar 2013 verbessert habe. Die Depression befinde sich in Remission und sei praktisch nicht mehr vorhanden. Zudem lägen keine invalidisierenden somatischen Beschwerden vor.</w:t>
      </w:r>
    </w:p>
    <w:p>
      <w:r>
        <w:rPr>
          <w:b/>
        </w:rPr>
        <w:t>E. 6.4</w:t>
      </w:r>
    </w:p>
    <w:p>
      <w:r>
        <w:t>Nachfolgend ist zu prüfen, ob der Sachverhalt rechtsgenüglich abgeklärt worden ist.</w:t>
      </w:r>
    </w:p>
    <w:p>
      <w:r>
        <w:rPr>
          <w:b/>
        </w:rPr>
        <w:t>E. 6.4.1</w:t>
      </w:r>
    </w:p>
    <w:p>
      <w:r>
        <w:t>Für die Beurteilung einer Veränderung des Gesundheitszustands lagen folgende Unterlagen der behandelnden Ärzte vor (vgl. Auflistung in der angefochtenen Verfügung, Beilage zu BVGer act. 1): diverse Arztberichte von Dr. H._______, Arbeitsmediziner, datierend vom 24. August 2011 bis 16. Mai 2014; diverse Spezialarztberichte vom 30. April 2014, Bericht vom Internisten Dr. I._______ vom 30. April 2014; Arztberichte des Dr. J._______, datierend vom 22. März 2011 bis 23. April 2014; Arztberichte von Dr. K._______ vom 29. April 2014 bis 6. Mai 2014; Laborbericht vom 30. April 2014; zwei Augenberichte vom 6. Mai 2014. In seinem letzten Bericht vom 16. Mai 2014 (Vorakten 117) beurteilte der Arbeitsmediziner, Dr. H._______, den Zustand des Beschwerdeführers als mehr als 50% eingeschränkt; der Versicherte benötige insbesondere in psychiatrischer Hinsicht weitere Kontrollen. In seinem Bericht sind folgende Hauptdiagnosen festgehalten: depresio rec. Psychotica gr. Majoris in remisionem/ PTSD/ Sy. Lumbalae CHR lumboischialgia bill. p.p lat. dex O.D. cataracta C dnj. Posterior bronchitis CHR. Restrictiva Hypertensio ART, cor hypertonicum comp. Sy. Vertiginosum Ne phromicrolythiasis</w:t>
      </w:r>
    </w:p>
    <w:p>
      <w:r>
        <w:rPr>
          <w:b/>
        </w:rPr>
        <w:t>E. 6.4.2</w:t>
      </w:r>
    </w:p>
    <w:p>
      <w:r>
        <w:t>Dr. L._______, Facharzt für Psychiatrie und Psychotherapie des medizinischen Dienstes, äusserte sich im Bericht vom 10. Dezember 2014 zur psychiatrischen Gesundheitseinschränkung wie folgt (Vorakten 121): Als Hauptdiagnose hielt er eine rezidivierende depressive Störung, in Remission (F33) fest. Es bestünden keine oder nur noch geringe funktionelle Einschränkungen, vor allem in Form von Schlafstörungen. Ab 28. Februar 2013 sei der Versicherte in der bisherigen Tätigkeit voll arbeitsfähig. Die Aussage des behandelnden Arbeitsmediziners vom 16. Mai 2014 (vgl. E. hiervor), wonach der Versicherte trotz remittierter Depression weiterhin arbeitsunfähig sei, sei angesichts der übrigen Arztberichte nicht nachvollziehbar.</w:t>
      </w:r>
    </w:p>
    <w:p>
      <w:r>
        <w:rPr>
          <w:b/>
        </w:rPr>
        <w:t>E. 6.4.3</w:t>
      </w:r>
    </w:p>
    <w:p>
      <w:r>
        <w:t>Zur somatischen Befundlage äusserte sich der RAD-Arzt Dr. M._______, Facharzt für Allgemeine Medizin, in der Stellungnahme vom 6. Mai 2015 (Vorakten 123). Er hielt folgende Diagnosen fest: Microlitiasis der Niere; Steatosis hepatis; leichte restriktive Ventilationstörung. Es liege keine Auswirkung auf die Arbeitsfähigkeit vor.</w:t>
      </w:r>
    </w:p>
    <w:p>
      <w:r>
        <w:rPr>
          <w:b/>
        </w:rPr>
        <w:t>E. 6.4.4</w:t>
      </w:r>
    </w:p>
    <w:p>
      <w:r>
        <w:t>Zum Zeitpunkt der Erstverfügung lagen unter anderem auch Rückenbeschwerden vor (Lumboischialgia lat. sin. ICD 10 M54.4), welche bei den kosovarischen Ärzten mit zur Annahme einer 50%igen Arbeitsunfähigkeit führten (Vorakten 34/4 f.). Laut Bericht des Arbeitsmediziners haben sich die bekannten linksseitigen Beschwerden seither ausgeweitet (lumboischialgia bill.; Vorakten 117). Weder Dr. L._______, Facharzt für Psychiatrie, noch Dr. M._______, Facharzt für Allgemeinmedizin, haben sich im Rahmen der Aktenbeurteilungen dazu geäussert. Dr. M._______ hält sodann den Beschwerdeführer in seiner angestammten Tätigkeit als Hilfsarbeiter im Baugewerbe für voll arbeitsfähig. Dieser Schluss ist angesichts der vom behandelnden Arbeitsmediziner festgestellten Rückenleiden nicht nachvollziehbar. Jedoch ist auch die von Letzterem festgestellte mehr als 50%ige Einschränkung nicht schlüssig und reicht für eine abschliessende Beurteilung des medizinischen Sachverhalts nicht aus. Hierzu liegen weder ausreichende Untersuchungsergebnisse, noch nachvollziehbare Begründungen für die Einschätzung des Gesundheitszustands und der Arbeitsfähigkeit vor (vgl. E. 5.2 hiervor). Bei dieser Sachlage kann nicht von einem lückenlosen medizinischen Befund ausgegangen werden (vgl. E. 5.3 hiervor).</w:t>
      </w:r>
    </w:p>
    <w:p>
      <w:r>
        <w:rPr>
          <w:b/>
        </w:rPr>
        <w:t>E. 6.4.5</w:t>
      </w:r>
    </w:p>
    <w:p>
      <w:r>
        <w:t>Wie bereits ausgeführt, wäre im Rahmen der Revision zu prüfen, ob sich der Gesundheitszustand des Beschwerdeführers im Vergleich zum Zustand bei Rentenzusprache verändert hat. Aus den Akten ergibt sich, dass der Beschwerdeführer wie bereits zum Zeitpunkt der Rentenzusprache an psychischen und somatischen Beschwerden (u. a. im Rücken) leidet. Bei komplexen gesundheitlichen Beeinträchtigungen muss die Einschätzung der Leistungsfähigkeit grundsätzlich auf umfassender, die Teilergebnisse verschiedener medizinischer Disziplinen integrierender Grundlage erfolgen (vgl. BGE 137 V 210 E. 1.2.4). Während für die ursprüngliche Rentenzusprache ein externer Bericht eines Arztes [der heimatlichen Verbindungsstelle] und ein neuropsychiatrisches Gutachten einer Klinik vorlagen, das psychische und somatische Beschwerden gleichermassen berücksichtigte, standen Dr. L._______ und Dr. M._______ für die Aktenbeurteilung im Revisionszeitpunkt mehrere fachärztliche heimatliche Berichte der behandelnden Ärzte zur Verfügung; bei diesen handelt es sich allerdings nicht um allseitige Einschätzungen, welche das Zusammenwirken der verschiedenen Gesundheitsbeeinträchtigungen berücksichtigen. In den Akten befindet sich somit für den Revisionszeitpunkt keine interdisziplinäre Begutachtung des Beschwerdeführers, auf die sich der medizinische Dienst der Vorinstanz hätte stützen können. In den vorliegenden, knapp gehaltenen Arztberichten findet sich keine umfassende Darstellung der Befunde. Es fehlt im Weiteren an einer fachübergreifenden, polydisziplinären Gesamtschau der verschiedenen geltend gemachten Beeinträchtigungen und der allenfalls darauf zurückzuführenden Einschränkung der Arbeits- und Leistungsfähigkeit hinsichtlich möglicher Verweistätigkeiten (vgl. BGE 137 V 210 E. 1.2.4).</w:t>
      </w:r>
    </w:p>
    <w:p>
      <w:r>
        <w:rPr>
          <w:b/>
        </w:rPr>
        <w:t>E. 6.5</w:t>
      </w:r>
    </w:p>
    <w:p>
      <w:r>
        <w:t>Bei dieser medizinischen Aktenlage durfte sich die Vorinstanz für die Feststellung einer wesentlichen Veränderung des Gesundheitszustands des Beschwerdeführers nicht mit einer Aktenbeurteilung des medizinischen Dienstes beziehungsweise des RAD begnügen. Auf solche Aktenbeurteilungen kann für die Beurteilung eines Leistungsanspruchs nur abgestellt werden, wenn sie den allgemeinen beweisrechtlichen Anforderungen an einen ärztlichen Bericht genügen. Erfolgt wie hier keine eigene Untersuchung durch den RAD-Arzt, können die Stellungnahmen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9C_58/2011 vom 25. März 2011 E. 2.2 und 9C_28/2015 vom 8. Juni 2015 E. 3.2). Von einem feststehenden medizinischen Sachverhalt kann hier wie bereits erwähnt (vgl. E. 6.4 hiervor) nicht ausgegangen werden. Damit lassen sich die Revisionsvoraussetzungen aufgrund der vorhandenen medizinischen Akten nicht mit dem erforderlichen Beweisgrad der überwiegenden Wahrscheinlichkeit beurteilen. Die Vorinstanz hätte sich unter diesen Umständen nicht mit einer Aktenbeurteilung des RAD begnügen dürfen, sondern hätte mit Blick auf die unklare Aktenlage weitere Abklärungen tätigen müssen.</w:t>
      </w:r>
    </w:p>
    <w:p>
      <w:r>
        <w:rPr>
          <w:b/>
        </w:rPr>
        <w:t>E. 6.6</w:t>
      </w:r>
    </w:p>
    <w:p>
      <w:r>
        <w:t>Im Weitern ist zu erkennen, dass für eine rechtskonforme Überprüfung der gesundheitlichen Verhältnisse mit Blick auf die Revisionsvoraussetzungen im Sinne von Art. 17 Abs. 1 ATSG eine pluridisziplinäre Abklärung des Beschwerdeführers nötig ist.</w:t>
      </w:r>
    </w:p>
    <w:p>
      <w:r>
        <w:rPr>
          <w:b/>
        </w:rPr>
        <w:t>E. 6.6.1</w:t>
      </w:r>
    </w:p>
    <w:p>
      <w:r>
        <w:t>Beim Beschwerdeführer liegen mehrere gesundheitliche Faktoren vor, die sich auf dessen Arbeitsfähigkeit auswirken können. Bei komplexen gesundheitlichen Beeinträchtigungen muss die Einschätzung der Leistungsfähigkeit grundsätzlich auf einer umfassenden, die Teilergebnisse verschiedener medizinischer Disziplinen integrierender Grundlage erfolgen. Der Zweck solcher interdisziplinärer Gutachten ist es, alle relevanten gesundheitlichen Beeinträchtigungen zu erfassen und die sich daraus je einzeln ergebenden Einschränkungen der Arbeitsfähigkeit in ein Gesamtergebnis zu fassen (vgl. BGE 137 V 210 E. 1.2.4).</w:t>
      </w:r>
    </w:p>
    <w:p>
      <w:r>
        <w:rPr>
          <w:b/>
        </w:rPr>
        <w:t>E. 6.6.2</w:t>
      </w:r>
    </w:p>
    <w:p>
      <w:r>
        <w:t>Vorliegend wird bei bisher nicht mit der Beurteilung des Beschwerdeführers befassten medizinischen Fachpersonen in der Schweiz ein interdisziplinäres, insbesondere internistisches, orthopädisches und psychiatrisches Gutachten einzuholen sein, welches sich zur unter revisionsrechtlichem Gesichtspunkt massgeblichen Frage äussert, ob sich das Krankheitsbild des Beschwerdeführers, wie es sich aus den medizinischen Aktenbefunden zur Zeit der rechtskräftigen Verfügung vom 5. Mai 2008 ergibt, wesentlich verändert hat. Eine polydisziplinäre Expertise ist auch dann einzuholen, wenn der Gesundheitsschaden zwar bloss als auf eine oder zwei medizinische Disziplinen fokussiert erscheint, die Beschaffenheit der Gesundheitsproblematik aber noch nicht vollends gesichert ist (vgl. oben E. 6.4).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6.7</w:t>
      </w:r>
    </w:p>
    <w:p>
      <w:r>
        <w:t>Unter diesen Umständen erübrigt es sich auch, die vom Beschwerdeführer angekündigten Arztberichte (BVGer act. 1) abzuwarten.</w:t>
      </w:r>
    </w:p>
    <w:p>
      <w:r>
        <w:rPr>
          <w:b/>
        </w:rPr>
        <w:t>E. 6.8</w:t>
      </w:r>
    </w:p>
    <w:p>
      <w:r>
        <w:t>Nach der Rechtsprechung des Bundesgerichts dauert der mit der revisionsweise verfügten Herabsetzung oder Aufhebung einer Rente verbundene Entzug der aufschiebenden Wirkung einer Beschwerde bei Rückweisung der Sache an die Verwaltung - unter Vorbehalt einer allfällig missbräuchlichen Provozierung eines möglichst frühen Revisionszeitpunktes durch die Verwaltung - auch noch für den Zeitraum dieses Abklärungsverfahrens bis zum Erlass der neuen Verwaltungsverfügung an (vgl. Urteile des BGer 9C_567/2017 vom 21. November 2017 E. 2 und 9C_ 301/2010 vom 21. Januar 2011 E. 3, jeweils mit Hinweisen). Vorliegend sind keine (eine ausnahmsweise Wiederherstellung des Suspensiveffektes rechtfertigende) Anhaltspunkte ersichtlich oder geltend gemacht. Somit gilt der Entzug der aufschiebenden Wirkung während der Dauer des anstehenden Abklärungsverfahrens bis zur Neuverfügung fort.</w:t>
      </w:r>
    </w:p>
    <w:p>
      <w:r>
        <w:rPr>
          <w:b/>
        </w:rPr>
        <w:t>E. 7</w:t>
      </w:r>
    </w:p>
    <w:p>
      <w:r>
        <w:t>Zusammenfassend ist die Beschwerde insoweit gutzuheissen, als die angefochtene Verfügung aufzuheben und die Sache im Sinne der Erwägungen zur Durchführung weiterer Abklärungen und anschliessendem Erlass eines neuen Entscheids an die Vorinstanz zurückzuweisen ist (Art. 61 Abs. 1 VwVG). Wie weiter oben dargelegt, sind im vorinstanzlichen Verfahren infolge unvollständiger Feststellung des rechtserheblichen Sachverhalts (vgl. Art. 43 ff. ATSG und Art. 12 VwVG) entscheidwesentliche Aspekte vollständig ungeklärt geblieben. Da es an einer Gesamtbeurteilung fehlt und die Vorinstanz im vorliegenden Revisionsverfahren selbst noch keine Begutachtung in Auftrag gegeben hat, steht einer Rückweisung der Sache zu weiteren Abklärungen nichts entgegen (vgl. BGE 137 V 210 E. 4.4.1.4). Die Vorinstanz ist anzuweisen, unter Berücksichtigung sämtlicher aktenkundiger Arztberichte sowie Beizug weiterer verfügbarer medizinischer Unterlagen ein interdisziplinäres, insbesondere internistisches, orthopädisches und psychiatrisches Gutachten einzuholen (bei Bedarf sind auch weitere Disziplinen einzubeziehen). Im Rahmen der Begutachtung ist die Gutachterstelle nach dem Zufallsprinzip gemäss Zuweisungssystem «SuisseMED@P» zu ermitteln und dem Beschwerdeführer sind die ihm zustehenden Mitwirkungsrechte einzuräumen (vgl. BGE 137 V 210 E. 3.4.2.9).</w:t>
      </w:r>
    </w:p>
    <w:p>
      <w:r>
        <w:rPr>
          <w:b/>
        </w:rPr>
        <w:t>E. 8.1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Der geleistete Kostenvorschuss von Fr. 800.- ist ihm nach Eintritt der Rechtskraft dieses Urteils zurückzuerstatten. Da der Vorinstanz gestützt auf Art. 63 Abs. 2 VwVG ebenfalls keine Kosten aufzuerlegen sind, werden keine Verfahrenskosten erhoben.</w:t>
      </w:r>
    </w:p>
    <w:p>
      <w:r>
        <w:rPr>
          <w:b/>
        </w:rPr>
        <w:t>E. 8.2</w:t>
      </w:r>
    </w:p>
    <w:p>
      <w:r>
        <w:t>Dem vertretenen Beschwerdeführer ist angesichts seines Obsiegens in Anwendung von Art. 64 Abs. 1 VwVG und Art. 7 Abs. 1 des Reglements vom 21. Februar 2008 über die Kosten und Entschädigungen vor dem Bundesverwaltungsgericht (VGKE, SR 173.320.2) eine Entschädigung zuzusprechen und gemäss Art. 64 Abs. 2 VwVG der Vorinstanz aufzuerlegen.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800.- (inkl. Auslagen) angemessen (Art. 9 Abs. 1, Art. 10 Abs. 2 VGKE). Die Mehrwertsteuer ist vorliegend nicht geschuldet (Art. 1 Abs. 2 Bst. a i.V.m. Art. 8 Abs. 1 MWSTG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