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C-7739/2008 vom 12. Mai 2010</w:t>
      </w:r>
    </w:p>
    <w:p>
      <w:r>
        <w:t>Bundesverwaltungsgericht, 2010-05-12, DE</w:t>
      </w:r>
    </w:p>
    <w:p>
      <w:r>
        <w:rPr>
          <w:b/>
        </w:rPr>
        <w:t xml:space="preserve">Quelle: </w:t>
      </w:r>
      <w:r>
        <w:t>https://mcp.opencaselaw.ch/entscheid/bvger_C-7739_2008</w:t>
      </w:r>
    </w:p>
    <w:p>
      <w:r>
        <w:t>FR: TAF C-7739/2008 du 12 mai 2010</w:t>
      </w:r>
    </w:p>
    <w:p>
      <w:r>
        <w:t>IT: TAF C-7739/2008 del 12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Verfügungsbetroffener legitimiert (Art. 48 Abs. 1 VwVG). Auf die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Gestützt auf Art. 67 Abs. 1 Bst. a AuG kann das BFM ein Einreiseverbot verhängen gegenüber ausländischen Personen, die gegen die öffentliche Sicherheit und Ordnung in der Schweiz oder im Ausland verstossen haben oder diese gefährden.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3.2</w:t>
      </w:r>
    </w:p>
    <w:p>
      <w:r>
        <w:t>Das Einreiseverbot beinhaltet keine Sanktion für vergangenes Fehlverhalten, sondern eine Massnahme zur Abwendung künftiger Störungen der öffentlichen Sicherheit und Ordnung (siehe Botschaft zum Bundesgesetz über die Ausländerinnen und Ausländer vom 8. März 2002, BBl 2002 3709, 3813). Die öffentliche Sicherheit und Ordnung im Sinne von Art. 67 Abs. 1 Bst. a AuG bildet den Oberbegriff für die Gesamtheit der polizeilichen Schutzgüter. Sie umfasst unter anderem die Unverletzlichkeit der objektiven Rechtsordnung (Botschaft, a.a.O., 3809; vgl. auch Art. 80 Abs. 1 Bst. a und Abs. 2 der Verordnung vom 24. Oktober 2007 über Zulassung, Aufenthalt und Erwerbstätigkeit [VZAE, SR 142.201] sowie Rainer J. Schweizer / Patrick Sutter / Nina Widmer, in: Rainer J. Schweizer [Hrsg.], Sicherheits- und Ordnungsrecht des Bundes, SBVR Bd. III/1, Basel 2008, Teil B, Rz. 13 mit Hinweisen). Somit kann eine Zuwiderhandlung gegen ausländerrechtliche Bestimmungen ein Einreiseverbot nach sich ziehen, dies im Sinne einer Massnahme zum Schutze vor künftigen Störungen.</w:t>
      </w:r>
    </w:p>
    <w:p>
      <w:r>
        <w:rPr>
          <w:b/>
        </w:rPr>
        <w:t>E. 4.1</w:t>
      </w:r>
    </w:p>
    <w:p>
      <w:r>
        <w:t>Dem Beschwerdeführer wird seitens der Vorinstanz mehrfache versuchte illegale Einreise und illegaler Aufenthalt vorgeworfen. Die Vorinstanz stützt sich dabei auf zwei Grenzkontrollrapporte.</w:t>
      </w:r>
    </w:p>
    <w:p>
      <w:r>
        <w:rPr>
          <w:b/>
        </w:rPr>
        <w:t>E. 4.2</w:t>
      </w:r>
    </w:p>
    <w:p>
      <w:r>
        <w:t>Gemäss Art. 5 AuG benötigt eine ausländische Person für die Einreise in die Schweiz ein anerkanntes Ausweispapier und ein Visum, es sei denn, sie gehöre einer von diesen Verpflichtungen befreiten Personengruppe an. Als serbischer Staatsangehöriger mit Wohnsitz in Serbien konnte sich der Beschwerdeführer im fraglichen Zeitraum auf keine derartige Befreiung berufen (vgl. Art. 2, 3 und 4 der Verordnung vom 14. Januar 1998 über die Einreise und Anmeldung von Ausländerinnen und Ausländern [VEA, AS 1998 194]). Dennoch war er bei den zwei im Sachverhalt erwähnten Einreiseversuchen unbestrittener-massen jeweils nicht im Besitz eines gültigen schweizerischen Visums.</w:t>
      </w:r>
    </w:p>
    <w:p>
      <w:r>
        <w:rPr>
          <w:b/>
        </w:rPr>
        <w:t>E. 4.3</w:t>
      </w:r>
    </w:p>
    <w:p>
      <w:r>
        <w:t>Der Beschwerdeführer bestreitet, versucht zu haben, illegal die Schweizer Grenze zu passieren. Er habe sich jeweils von sich aus an die Grenzkontrollorgane gewandt, um eine Einreiseerlaubnis bzw. ein Visum zu erhalten. Diese Darstellung findet weder eine Stütze in den Akten, noch ist sie nachvollziehbar. Wie die Vorinstanz in ihrer Vernehmlassung unwidersprochen festhält, wäre kein Grenzkontrollrapport wegen Versuchs zur illegalen Einreise erstellt worden, hätte sich der Sachverhalt tatsächlich so zugetragen, wie der Beschwerdeführer behauptet.</w:t>
      </w:r>
    </w:p>
    <w:p>
      <w:r>
        <w:rPr>
          <w:b/>
        </w:rPr>
        <w:t>E. 4.4</w:t>
      </w:r>
    </w:p>
    <w:p>
      <w:r>
        <w:t>Mit der illegalen Einreise erweist sich auch der anschliessende Aufenthalt als rechtswidrig. Indem der Beschwerdeführer wiederholt gegen ausländerrechtliche Bestimmungen von zentraler Bedeutung verstossen hat, hat er den Fernhaltegrund einer Verletzung der öffentlichen Sicherheit und Ordnung gemäss Art. 67 Abs. 1 Bst. a AuG gesetzt.</w:t>
      </w:r>
    </w:p>
    <w:p>
      <w:r>
        <w:rPr>
          <w:b/>
        </w:rPr>
        <w:t>E. 5.1</w:t>
      </w:r>
    </w:p>
    <w:p>
      <w:r>
        <w:t>Bei der Prüfung, ob die Massnahme in richtiger Ausübung des Ermessens ergangen und angemessen ist, steht der Grundsatz der Verhältnismässigkeit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 / GEORG MÜLLER / FELIX UHLMANN, Allgemeines Verwaltungsrecht, 5. Aufl., Zürich / Basel / Genf 2006, Rz 613 ff.).</w:t>
      </w:r>
    </w:p>
    <w:p>
      <w:r>
        <w:rPr>
          <w:b/>
        </w:rPr>
        <w:t>E. 5.2</w:t>
      </w:r>
    </w:p>
    <w:p>
      <w:r>
        <w:t>Das Fehlverhalten des Beschwerdeführers wiegt objektiv nicht leicht, denn er hat sich damit über Normen hinweggesetzt, die für das Funktionieren der ausländerrechtlichen Ordnung von zentraler Bedeutung sind. Aber auch was die subjektive Seite betrifft, ist sein Verhalten nicht zu bagatellisieren. Er hat sich bewusst und wiederholt über geltende Visumsbestimmungen der Schweiz hinweggesetzt. Aus den Akten der Vorinstanz zu schliessen war er schon Jahre zuvor einmal wegen eines fehlenden nationalen Visums am Grenzübertritt in die Schweiz gehindert worden (Grenzkontrollrapport vom 9. Septem-ber 2003) und zwischen Mitte 2006 und Mitte 2008 besass er Dauervisa für berufliche Einreisen.</w:t>
      </w:r>
    </w:p>
    <w:p>
      <w:r>
        <w:rPr>
          <w:b/>
        </w:rPr>
        <w:t>E. 5.3</w:t>
      </w:r>
    </w:p>
    <w:p>
      <w:r>
        <w:t>Auf der anderen Seite ist die Gefahr weiterer gleichgelagerter Zuwiderhandlungen nicht in dem Mass anzunehmen, wie sie zum Zeitpunkt des Erlasses der angefochtenen Verfügung gegeben war. Für seine Berufsfahrten in die Schweiz war der Beschwerdeführer bis Mitte 2008 im Besitze entsprechender Dauervisa und die massnahmeauslösenden Zwischenfälle standen offensichtlich nicht im Zusammenhang mit einer Erwerbstätigkeit. Nun sind serbische Staatsangehörige mit Wirkung ab 19. Dezember 2009 für einen maximal dreimonatigen Aufenthalt ohne Erwerbstätigkeit von der Visumspflicht befreit, wenn sie im Besitz eines biometrischen Reisepasses sind, der nicht von der serbischen Koordinationsdirektion ausgestellt wurde (vgl. Art. 4 Abs. 2 VEV und Anhang II der Verordnung (EG) Nr. 539/2001 des Rates vom 15. März 2001 in der Fassung vom 19. Dezember 2009).</w:t>
      </w:r>
    </w:p>
    <w:p>
      <w:r>
        <w:rPr>
          <w:b/>
        </w:rPr>
        <w:t>E. 5.4</w:t>
      </w:r>
    </w:p>
    <w:p>
      <w:r>
        <w:t>Auch wenn der Beschwerdeführer keine spezifischen persönlichen Interessen daran geltend macht, bei Einreisen in die Schweiz keinen besonderen Restriktionen ausgesetzt zu sein, kommt das Bundesverwaltungsgericht zum Schluss, dass wegen der inzwischen eingetretenen Rechtsänderung das Einreiseverbot in Bezug auf die ausgesprochene Dauer nicht mehr angemessen und auf den Zeitpunkt dieses Urteils aufzuheben ist. In diesem Sinne ist die Beschwerde teilweise gutzuheissen.</w:t>
      </w:r>
    </w:p>
    <w:p>
      <w:r>
        <w:rPr>
          <w:b/>
        </w:rPr>
        <w:t>E. 6.1</w:t>
      </w:r>
    </w:p>
    <w:p>
      <w:r>
        <w:t>In Anwendung von Art. 63 Abs. 1 VwVG sind dem Beschwerdeführer die Verfahrenskosten von Fr. 700.- aufzuerlegen. Eine anteilsmässige Reduktion dieser Kosten im Verhältnis zum Obsiegen erscheint nicht gerechtfertigt, da die Massnahme ihrem Grundsatz nach zu bestätigen und lediglich in ihrer Dauer aufgrund einer inzwischen geänderten Rechtslage anzupassen ist.</w:t>
      </w:r>
    </w:p>
    <w:p>
      <w:r>
        <w:rPr>
          <w:b/>
        </w:rPr>
        <w:t>E. 6.2</w:t>
      </w:r>
    </w:p>
    <w:p>
      <w:r>
        <w:t>Eine (reduzierte) Parteientschädigung ist schon deshalb nicht auszurichten, weil dem Beschwerdeführer zur wirksamen Verfolgung seiner Interessen offensichtlich keine rechtserheblichen Kosten erwachsen sind (Art. 64 VwVG i.V.m. Art. 7 Abs. 4 des Reglements vom 21. Feb-ruar 2008 über die Kosten und Entschädigungen vor dem Bundesver-waltungsgericht [VGKE,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