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C-7736/2010 vom 16. Juli 2013</w:t>
      </w:r>
    </w:p>
    <w:p>
      <w:r>
        <w:t>Bundesverwaltungsgericht, 2013-07-16, DE</w:t>
      </w:r>
    </w:p>
    <w:p>
      <w:r>
        <w:rPr>
          <w:b/>
        </w:rPr>
        <w:t xml:space="preserve">Quelle: </w:t>
      </w:r>
      <w:r>
        <w:t>https://mcp.opencaselaw.ch/entscheid/bvger_C-7736_2010</w:t>
      </w:r>
    </w:p>
    <w:p>
      <w:r>
        <w:t>FR: TAF C-7736/2010 du 16 juillet 2013</w:t>
      </w:r>
    </w:p>
    <w:p>
      <w:r>
        <w:t>IT: TAF C-7736/2010 del 16 luglio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des Bundesgesetztes vom 21. März 1973 über Sozialhilfe und Darlehen an Schweizer Staatsange­hörige im Ausland (BSDA, SR 852.1).</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w:t>
      </w:r>
    </w:p>
    <w:p>
      <w:r>
        <w:rPr>
          <w:b/>
        </w:rPr>
        <w:t>E. 3.2</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w:t>
      </w:r>
    </w:p>
    <w:p>
      <w:r>
        <w:rPr>
          <w:b/>
        </w:rPr>
        <w:t>E. 4</w:t>
      </w:r>
    </w:p>
    <w:p>
      <w:r>
        <w:t>Das der Verfügung zugrunde liegende Budget wurde von der Schweizeri­schen Vertretung aufgrund der geltenden Richtlinien und gestützt auf die An­gaben des Beschwerdeführers erstellt. Dass dabei die gemeinsamen Haushaltungskosten nur zu einem Drittel berücksichtigt werden können, ist klar, zumal es sich bei der Lebenspartnerin des Beschwerdeführers und deren Tochter nicht um Auslandschweizerinnen handelt, die gestützt auf das BSDA einen Anspruch auf Sozialhilfeleistungen hätten. Den weit­aus grössten Teil dieser Haushaltskosten (ca. 85%) macht denn auch der Mietzins des dreistöckigen Hauses mit insgesamt sechs Zimmern und vier WC/Badezimmern aus. Es versteht sich von selbst, dass der Beschwer­deführer für sich alleine kein so grosses Haus benötigen würde und dementsprechend viel tiefere Mietkosten hätte. Da der Mietzins einen so hohen Anteil an den gemeinsamen Haushaltungskosten ausmacht, fällt bezüglich des auf einen Drittel gekürzten Betrages auch nicht ins Ge­wicht, dass der Beschwerdeführer die Tochter seiner Lebenspartnerin nur in Form von Essen unterstützt.</w:t>
      </w:r>
    </w:p>
    <w:p>
      <w:r>
        <w:rPr>
          <w:b/>
        </w:rPr>
        <w:t>E. 4.1</w:t>
      </w:r>
    </w:p>
    <w:p>
      <w:r>
        <w:t>Ohne das Budget insgesamt in Frage zu stellen oder eine bestimmte Po­sition im Budget zu beanstanden, macht der Beschwerdeführer im Übri­gen lediglich geltend, dass es sich bei der mit ihm lebenden Frau nicht nur um eine gewöhnliche Lebenspartnerin, sondern vielmehr um eine Krankenschwester handle, "was seinen Preis habe". Sollte er damit die in der Position 2.3.8 des Budgets (Pflegekosten/Haushaltshilfe) von der Vorinstanz nicht berücksichtigten monatlichen Ausgaben von PEN 600.- (ca. Fr. 215.-) meinen, so gilt es festzuhalten, dass immer noch ein monatlicher Überschuss von PEN 1'386.- bzw. Fr. 500.- vorhanden ist. Auch mit dem daraus resultierenden jährlichen Überschuss (Fr. 6'000.-) ist es dem Beschwerdeführer zuzumuten, die medizinischen Kosten von PEN 7'460.- bzw. Fr. 2'747.-, welche im selben Zeitraum anfallen, zu beglei­chen, zumal er gemäss eigenen Angaben die vom Arzt veranschlag­ten Kosten nicht auf einmal bezahlen muss.</w:t>
      </w:r>
    </w:p>
    <w:p>
      <w:r>
        <w:rPr>
          <w:b/>
        </w:rPr>
        <w:t>E. 4.2</w:t>
      </w:r>
    </w:p>
    <w:p>
      <w:r>
        <w:t>Was die mit der Replik eingereichten ärztlichen Berichte zu seiner ge­sundheitlichen Situation betrifft, so geht daraus zwar hervor, dass sein psy­chischer Zustand die dauernde Anwesenheit einer Drittperson erfor­dert (Sicherstellung der Beaufsichtigung, Kontrolle der Medikamentenein­nahme). Eine ausgebildete Krankenschwester ist dafür aber nicht notwen­dig. Von der Lebenspartnerin, die vollständig auf Kosten des Be­schwerdeführers in dessen Haus lebt, kann jedoch eine solche Beaufsichti­gung ihres kranken Partners erwartet werden, ohne dass sie zu­sätzlich eine Entschädigung erhält, wie sie einer Krankenpflegerin oder sonst einer Drittperson, die nicht zusammen mit der betreuten Person lebt, zustehen würde.</w:t>
      </w:r>
    </w:p>
    <w:p>
      <w:r>
        <w:rPr>
          <w:b/>
        </w:rPr>
        <w:t>E. 4.3</w:t>
      </w:r>
    </w:p>
    <w:p>
      <w:r>
        <w:t>Aufgrund dieser Ausführungen ist nicht davon auszugehen, dass das Budget nicht in rechtskonformer Weise erstellt worden oder die Vorin­stanz von falschen Annahmen ausgegangen wäre. Selbst wenn sich der mo­natliche Überschuss - wie oben dargelegt - um PEN 600 reduzieren würde, wäre der Beschwerdeführer immer noch in der Lage, die Behand­lungskosten mit Teilzahlungen in wenigen Monaten zu begleichen. Eine Be­dürftigkeit im Sinne des BSDA liegt somit bei ihm nicht vor.</w:t>
      </w:r>
    </w:p>
    <w:p>
      <w:r>
        <w:rPr>
          <w:b/>
        </w:rPr>
        <w:t>E. 5</w:t>
      </w:r>
    </w:p>
    <w:p>
      <w:r>
        <w:t>Demnach gelangt das Bundesverwaltungsgericht zum Schluss, dass die an­gefochtene Verfügung Bundesrecht nicht verletzt (vgl.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