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C-7730/2007 vom 18. Mai 2009</w:t>
      </w:r>
    </w:p>
    <w:p>
      <w:r>
        <w:t>Bundesverwaltungsgericht, 2009-05-18, DE</w:t>
      </w:r>
    </w:p>
    <w:p>
      <w:r>
        <w:rPr>
          <w:b/>
        </w:rPr>
        <w:t xml:space="preserve">Quelle: </w:t>
      </w:r>
      <w:r>
        <w:t>https://mcp.opencaselaw.ch/entscheid/bvger_C-7730_2007</w:t>
      </w:r>
    </w:p>
    <w:p>
      <w:r>
        <w:t>FR: TAF C-7730/2007 du 18 mai 2009</w:t>
      </w:r>
    </w:p>
    <w:p>
      <w:r>
        <w:t>IT: TAF C-7730/2007 del 18 maggio 2009</w:t>
      </w:r>
    </w:p>
    <w:p>
      <w:pPr>
        <w:pStyle w:val="Heading2"/>
      </w:pPr>
      <w:r>
        <w:t>Regeste</w:t>
      </w:r>
    </w:p>
    <w:p>
      <w:r>
        <w:t>Invaliditätsbemessung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Die Beschwerde wurde fristgerecht durch den ordentlich vertretenen Beschwerdeführer eingereicht (vgl. Art. 38 ff. und Art. 60 ATSG). Als Adressat der angefochtenen Verfügung ist der Beschwerdeführer davon berührt und er hat ein schutzwürdiges Interesse an deren Abänderung (Art. 59 ATSG). Auf die Beschwerde ist, nachdem auch der Kostenvorschuss fristgerecht bezahlt wurde, einzutreten.</w:t>
      </w:r>
    </w:p>
    <w:p>
      <w:r>
        <w:rPr>
          <w:b/>
        </w:rPr>
        <w:t>E. 3</w:t>
      </w:r>
    </w:p>
    <w:p>
      <w:r>
        <w:t>Der Beschwerdeführer macht sinngemäss eine Verletzung des rechtlichen Gehörs geltend, indem er rügt, die Vorinstanz habe sich in ihrer Verfügung nicht mit den im Vorbescheidverfahren vorgebrachten Einwänden auseinander gesetzt und ihm die Stellungnahme des IV-Arztes, auf welche sich die Verfügung stützte, nicht zugestellt.</w:t>
      </w:r>
    </w:p>
    <w:p>
      <w:r>
        <w:rPr>
          <w:b/>
        </w:rPr>
        <w:t>E. 3.1</w:t>
      </w:r>
    </w:p>
    <w:p>
      <w:r>
        <w:t>Gemäss Art. 29 Abs. 2 der Bundesverfassung der Schweizerischen Eidgenossenschaft vom 18. April 1999 (BV, SR 101), Art. 42 Abs. 1 ATSG in Verbindung mit Art. 1 Abs. 1 IVG haben die Parteien Anspruch auf rechtliches Gehör Das rechtliche Gehör dient einerseits der Sachaufklärung, andererseits stellt es ein persönlichkeitsbezogenes Mitwirkungsrecht beim Erlass eines Entscheids dar, welcher in die Rechtsstellung einer Person eingreift (BGE 132 V 368 E. 3.1 mit Hinweisen). Der verfassungsmässige Anspruch umfasst Rechte der Parteien auf Teilnahme am Verfahren und auf Einflussnahme auf den Prozess der Entscheidfindung. Dazu gehört auch das Recht, mit erheblichen Beweisanträgen gehört zu werden, das Akteneinsichtsrecht sowie die Pflicht der Behörden, den Entscheid zu begründen (BGE 132 V 368 E. 3.1, BGE 134 I 83 E. 4.1, BGE 133 III 439, E. 3.3).</w:t>
      </w:r>
    </w:p>
    <w:p>
      <w:r>
        <w:rPr>
          <w:b/>
        </w:rPr>
        <w:t>E. 3.2</w:t>
      </w:r>
    </w:p>
    <w:p>
      <w:r>
        <w:t>Im Bereich der Invalidenversicherung hat die Verwaltung - abgesehen von hier nicht massgebenden Ausnahmen (vgl. BGE 134 V 97) - das rechtliche Gehör grundsätzlich im Vorbescheidverfahren (Art. 57a IVG) zu gewähren.</w:t>
      </w:r>
    </w:p>
    <w:p>
      <w:r>
        <w:rPr>
          <w:b/>
        </w:rPr>
        <w:t>E. 3.2.1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(Satz 2). Die Parteien können innerhalb von 30 Tagen Einwände zum Vorbescheid vorbringen (Art. 73ter Abs. 1 der Verordnung vom 17. Januar 1961 über die Invalidenversicherung [IVV, SR 831.201]). Die versicherte Person kann ihre Einwände schriftlich oder mündlich bei der IV-Stelle vorbringen (Art. 73ter Abs. 2 Satz 1 IVV). Beschliesst die IV-Stelle über ein Leistungsbegehren, hat sie sich in der Begründung mit den für den Beschluss relevanten Einwänden auseinander zu setzen (Art. 74 Abs. 2 IVV).</w:t>
      </w:r>
    </w:p>
    <w:p>
      <w:r>
        <w:rPr>
          <w:b/>
        </w:rPr>
        <w:t>E. 3.2.2</w:t>
      </w:r>
    </w:p>
    <w:p>
      <w:r>
        <w:t>Das Vorbescheidverfahren wurde im Rahmen der Massnahmen zur Verfahrensstraffung per 1. Juli 2006 wieder eingeführt, mit dem Ziel, eine unkomplizierte Diskussion des Sachverhalts zu ermöglichen und dadurch die Akzeptanz der Entscheide bei den Versicherten zu verbessern (BGE 134 V 97 E. 2.7). Der Dialog zwischen der IV-Stelle und der versicherten Person sowie deren Einbezug in die Ermittlung des rechtserheblichen Sachverhalts erschienen dem Gesetzgeber entscheidend für die Verbesserung der Akzeptanz der Entscheide der IV-Stellen. An die Gewährung des rechtlichen Gehörs und die daraus fliessende Begründungspflicht sind daher erhöhte Anforderungen zu stellen (vgl. HANS-JAKOB MOSIMANN, Vorbescheidverfahren statt Einspracheverfahren in der IV, Schweizerische Zeitschrift für Sozialversicherung und berufliche Vorsorge 2006 S. 277 ff. mit Hinweisen).</w:t>
      </w:r>
    </w:p>
    <w:p>
      <w:r>
        <w:rPr>
          <w:b/>
        </w:rPr>
        <w:t>E. 3.3</w:t>
      </w:r>
    </w:p>
    <w:p>
      <w:r>
        <w:t>Die Vorinstanz hat sich in der angefochtenen Verfügung insbesondere nicht mit dem vom Beschwerdeführer vorgebrachten Einwand auseinander gesetzt, die Beurteilung hätte nicht durch einen einzelnen Arzt der IV-Stelle - dessen Facharzttitel zudem aus den Berichten nicht hervorgeht - erfolgen dürfen. Da neben den somatischen auch psychische Beschwerden zu beurteilen waren, kann dieser Einwand jedenfalls nicht als unerheblich bezeichnet werden. Zu den im Vorbescheidverfahren neu eingereichten medizinischen Berichten - die im Übrigen zum Teil eher ausführlicher waren als die zuvor eingegangen medizinischen Unterlagen - wird in der Verfügung auf die Stellungnahme des ärztlichen Dienstes der IV-Stelle verwiesen, welche dem Beschwerdeführer jedoch nicht zugestellt wurde. Damit ist die Vorinstanz nicht nur ihrer Begründungspflicht nicht nachgekommen, sie hat auch das Akteneinsichtsrecht - als notwendige Voraussetzung für das Recht auf Anhörung (BGE 132 V 387 E. 3.1) - missachtet. Die Stellungnahme des IV-Stellenarztes hätte dem Beschwerdeführer vor Erlass der Verfügung zugestellt werden müssen, denn die Vorinstanz hat massgeblich auf ein Beweismittel abgestellt, welches nach der am 5. Juli 2007 (IV-Akt. 57) gewährten Akteneinsicht erstellt wurde. Wie das Bundesgericht bereits bei den Einspracheverfahren (welche durch das Vorbescheidverfahren abgelöst wurden) festgehalten hat, muss die IV-Stelle die versicherte Person zu einem im Einspracheverfahren eingeholten Bericht des RAD nochmals anhören. Unterlässt sie dies, liegt eine Verletzung des rechtlichen Gehörs vor (Urteil des Bundesgerichts [BGer] 8C_102/2007 vom 25. Oktober 2007 E. 3.2, Urteil BGer I 211/06 vom 22. Februar 2007 E. 5.4.2; vgl. auch Urteil BGer 8C_424/2008 vom 16. September 2008 E. 2.2 betreffend erstinstanzlichem Gerichtsverfahren).</w:t>
      </w:r>
    </w:p>
    <w:p>
      <w:r>
        <w:rPr>
          <w:b/>
        </w:rPr>
        <w:t>E. 3.4</w:t>
      </w:r>
    </w:p>
    <w:p>
      <w:r>
        <w:t>Der Anspruch auf rechtliches Gehör ist formeller Natur. Dessen Verletzung führt ungeachtet der Erfolgsaussichten der Beschwerde in der Sache selbst zur Aufhebung der angefochtenen Verfügung (BGE 127 V 431 E. 3d/aa,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des BVGer A-1737/2006 vom 22. August 2007 E. 2.2; LORENZ KNEUBÜHLER, Die Begründungspflicht, Bern 1998, S. 214 mit Hinweisen).</w:t>
      </w:r>
    </w:p>
    <w:p>
      <w:r>
        <w:rPr>
          <w:b/>
        </w:rPr>
        <w:t>E. 3.5</w:t>
      </w:r>
    </w:p>
    <w:p>
      <w:r>
        <w:t>Ob angesichts der im vorliegenden Fall festgestellten Gehörsverletzungen und des Umstandes, dass im Vorbescheidverfahren an das rechtliche Gehör erhöhte Anforderungen zu stellen sind, eine Heilung zulässig wäre, kann offen bleiben, weil die Sache ohnehin zur weiteren Abklärung an die Vorinstanz zurückzuweisen ist. Hinsichtlich der Begründungspflicht ist jedoch festzuhalten, dass sich die Vorinstanz auch in der Vernehmlassung im Wesentlichen darauf beschränkte, die Notwendigkeit einer medizinischen Begutachtung in der Schweiz zu verneinen, zum Einwand, die Beurteilung hätte von der RAD-Fachgruppe vorgenommen werden müssen, aber nicht Stellung nahm.</w:t>
      </w:r>
    </w:p>
    <w:p>
      <w:r>
        <w:rPr>
          <w:b/>
        </w:rPr>
        <w:t>E. 4</w:t>
      </w:r>
    </w:p>
    <w:p>
      <w:r>
        <w:t>In materieller Hinsicht streitig ist der Anspruch auf eine Invalidenrente.</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4.3</w:t>
      </w:r>
    </w:p>
    <w:p>
      <w:r>
        <w:t>Die Vorinstanz hat ihre abweisende Verfügung auf die beiden Stellungnahmen von Dr. C._______ gestützt.</w:t>
      </w:r>
    </w:p>
    <w:p>
      <w:r>
        <w:rPr>
          <w:b/>
        </w:rPr>
        <w:t>E. 4.3.1</w:t>
      </w:r>
    </w:p>
    <w:p>
      <w:r>
        <w:t>In seiner ersten Beurteilung vom 11. Juni 2007 führte der IV-Stellenarzt aus, der einzige brauchbare Bericht sei derjenige vom 9. März 2007 (vgl. IV-Akt. 49 und 50), welcher einen chronischen Alkoholismus mit einer mentalen Beeinträchtigung beschreibe. Die attestierte Arbeitsunfähigkeit erschien ihm aber nicht nachvollziehbar. Alkoholismus ohne physische oder psychische Komplikationen begründe keine Arbeitsunfähigkeit. Die übrigen Unterlagen enthielten keine Argumente für eine Arbeitsunfähigkeit. Auf welche weiteren Berichte der Arzt Bezug nimmt, lässt sich seiner Stellungnahme nicht entnehmen. Übersetzt wurde nur ein Teil der bei der IV-Stelle eingegangenen medizinischen Unterlagen: der Bericht von "E._______", einer Einrichtung für chronisch psychisch Kranke, vom 9. März 2007 (IV-Akt. 50), zwei handschriftliche Kurzatteste, welche wahrscheinlich kaum mehr als die Diagnose enthalten und vom Übersetzer als teilweise unleserlich bezeichnet wurden (IV-Akt. 48 und 52) sowie ein Kurzbericht eines Radiologen vom 21. Februar 2007 über eine Echotomographie abdominal (IV-Akt. 46). Nicht übersetzt wurden beispielsweise der Bericht betreffend Behandlung vom 23. März bis 30. März 2004 in der psychiatrischen Abteilung wegen Alkoholismus (IV-Akt. 36) sowie der Bericht von Dr. D._______, Neuropsychiater, vom 20. Mai 2004 (IV-Akt. 37).</w:t>
      </w:r>
    </w:p>
    <w:p>
      <w:r>
        <w:rPr>
          <w:b/>
        </w:rPr>
        <w:t>E. 4.3.2</w:t>
      </w:r>
    </w:p>
    <w:p>
      <w:r>
        <w:t>In der zweiten Stellungnahme vom 13. Oktober 2007 nahm Dr. C._______ zu den im Vorbescheidverfahren neu eingereichten Unterlagen Stellung. Die medizinische Dokumentation bestätige eine Depression mit chronischem Alkoholismus ohne Argumente für eine damit verbundene Arbeitsunfähigkeit. Die beschriebene subjektive Symptomatologie schliesse eine Erwerbstätigkeit nicht aus. Der im Jahr 1987 erlittene Unfall habe den Versicherten jedenfalls nicht daran gehindert, bis 1992 eine Erwerbstätigkeit auszuüben.</w:t>
      </w:r>
    </w:p>
    <w:p>
      <w:r>
        <w:rPr>
          <w:b/>
        </w:rPr>
        <w:t>E. 4.4</w:t>
      </w:r>
    </w:p>
    <w:p>
      <w:r>
        <w:t>Nach der Rechtsprechung begründet Alkoholabhängigkeit (wie auch Drogensucht und Medikamentenabhängigkeit) für sich allein keine Invalidität im Sinne des Gesetzes. Vielmehr wird diese invalidenversicherungsrechtlich erst relevant, wenn sie eine Krankheit oder einen Unfall bewirkt hat, in deren Folge ein körperlicher, geistiger oder psychischer, die Erwerbsfähigkeit beeinträchtigender Gesundheitsschaden eingetreten ist, oder wenn sie selber Folge eines körperlichen, geistigen oder psychischen Gesundheitsschadens ist, dem Krankheitswert zukommt (BGE 124 V 265 E. 3c). Dabei ist das ganze für die Alkoholsucht massgebende Ursachen- und Folgespektrum in eine Gesamtwürdigung einzubeziehen, was impliziert, dass einer allfälligen Wechselwirkung zwischen Suchtmittelabhängigkeit und psychischer Begleiterkrankung Rechnung zu tragen ist (Urteil des Eidgenössischen Versicherungsgerichts [EVG] I 169/06 vom 8. August 2006 E. 2.2, Urteil EVG I 313/06 vom 6. Februar 2007 E. 2.3, Urteil BGer 8C_582/2008 vom 14. Januar 2009 E. 2).</w:t>
      </w:r>
    </w:p>
    <w:p>
      <w:r>
        <w:rPr>
          <w:b/>
        </w:rPr>
        <w:t>E. 4.4.1</w:t>
      </w:r>
    </w:p>
    <w:p>
      <w:r>
        <w:t>Der IV-Stellenarzt verneint a priori eine mögliche Beeinträchtigung der Arbeitsfähigkeit aufgrund der Alkoholabhängigkeit und Depression, ohne seine Einschätzung, die von denjenigen der behandelnden bzw. der örtlichen Ärzte abweicht, näher zu begründen. Gemäss den medizinischen Akten leidet der Beschwerdeführer an erheblichen Gedächtnis- und Konzentrationsstörungen, diagnostiziert wurde zudem ein psychoorganisches Syndrom, Hepatopathie und Polyneuropathie (IV-Akt. 70, 68, 66 und 50). Zu diesen Störungen, welche zum Teil explizit als Folgeerscheinungen des Alkoholabusus bezeichnet werden, äussert sich der IV-Stellenarzt nicht. Unklar ist auch, ob die diagnostizierte (schwere) Depression als Ursache oder Folge der Alkoholproblematik oder als davon unabhängige Störung zu qualifizieren ist.</w:t>
      </w:r>
    </w:p>
    <w:p>
      <w:r>
        <w:rPr>
          <w:b/>
        </w:rPr>
        <w:t>E. 4.4.2</w:t>
      </w:r>
    </w:p>
    <w:p>
      <w:r>
        <w:t>Aufgabe des medizinischen Dienstes der IV-Stelle (bzw. des regionalen ärztlichen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(Urteil BGer 9C_341/2007 vom 16. November 2007 4.1 mit Hinweisen). Eine solche Zusammenfassung und Würdigung des medizinischen Sachverhalts liegt hier nicht bzw. nur in ungenügender Weise vor. Dabei fehlt nicht nur eine Auseinandersetzung mit den abweichenden Einschätzungen der örtlichen medizinischen Fachpersonen, sondern auch mit den gestellten Diagnosen und deren möglichen Auswirkungen auf die Arbeitsfähigkeit. Die Beurteilung der Arbeitsfähigkeit ist daher weder nachvollziehbar noch schlüssig.</w:t>
      </w:r>
    </w:p>
    <w:p>
      <w:r>
        <w:rPr>
          <w:b/>
        </w:rPr>
        <w:t>E. 4.4.3</w:t>
      </w:r>
    </w:p>
    <w:p>
      <w:r>
        <w:t>Anzumerken ist im Weiteren, dass es sich bei den Diagnosen Depression, Alkoholabhängigkeit und psychoorganisches Syndrom um psychische Störungen handelt, weshalb die Beurteilung grundsätzlich durch eine Spezialärztin oder einen Spezialarzt für Psychiatrie zu erfolgen hat. Diese Anforderung gilt auch für versicherungsinterne Ärzte (vgl. Urteil BGer 9C_341/2007 vom 16. November 2007 E. 4.1 mit Hinweisen). Gemäss FMH-Ärzteindex ist Dr. C._______ Facharzt für Orthopädische Chirurgie und Traumatologie des Bewegungsapparates und daher nicht dafür zuständig, die Arbeits(un)fähigkeit aus psychiatrischer Sicht zu beurteilen. Der Einwand des Beschwerdeführers, die IV-Stelle hätte nicht nur auf die Stellungnahme eines einzigen Arztes abstellen dürfen, erweist sich demnach als berechtigt.</w:t>
      </w:r>
    </w:p>
    <w:p>
      <w:r>
        <w:rPr>
          <w:b/>
        </w:rPr>
        <w:t>E. 4.5</w:t>
      </w:r>
    </w:p>
    <w:p>
      <w:r>
        <w:t>Zusammenfassend ist festzustellen, dass aufgrund der vorliegenden medizinischen Akten eine Beeinträchtigung der Arbeitsfähigkeit, insbesondere durch die diagnostizierten psychischen Störungen sowie durch allfällige Folgeschädigungen des Alkoholabusus, nicht ausgeschlossen werden können. Für eine rechtskonforme Beurteilung des Leistungsanspruchs sind daher weitere medizinische Abklärungen in somatischer und psychischer Hinsicht erforderlich. Dabei werden auch die weiteren - in der Regel als Unfallfolgen beschriebenen - Beeinträchtigungen einzubeziehen sein. Die Sache ist deshalb an die IV-Stelle zurückgewiesen, damit sie nach erfolgter Abklärung und Durchführung eines korrekten Vorbescheidverfahrens über den Leistungsanspruch neu verfüge. In diesem Sinne ist die Beschwerde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Den Vorinstanzen werden keine Verfahrenskosten auferlegt (Art. 63 Abs. 2 VwVG). Da der Beschwerdeführer obsiegt hat, ist ihm der geleistete Kostenvorschuss zurück zu erstatten.</w:t>
      </w:r>
    </w:p>
    <w:p>
      <w:r>
        <w:rPr>
          <w:b/>
        </w:rPr>
        <w:t>E. 5.2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Der Stundenansatz für den nichtanwaltlichen professionellen Vertreter ist in Anwendung von Art. 10 Abs. 2 VGKE auf Fr. 150.- festzusetzen. Unter Berücksichtigung des gebotenen und aktenkundigen Aufwandes erscheint eine Vergütung von 6 Stunden angemessen, was einen Betrag von Fr. 900.- ergibt. Nicht zu entschädigen ist die Mehrwertsteuer (vgl. Art. 5 Bst. b des Bundesgesetzes vom 2. September 1999 über die Mehrwertsteuer [Mehrwertsteuergesetz, MWSTG, SR 641.20] in Verbindung mit Art. 14 Abs. 3 Bst. c MWSTG;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